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widowControl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四川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银行20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度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理财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业务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报告</w:t>
      </w:r>
    </w:p>
    <w:p>
      <w:pPr>
        <w:widowControl/>
        <w:ind w:firstLine="640" w:firstLineChars="200"/>
        <w:jc w:val="left"/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本报告报告期为202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月1日至202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2年12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运行情况公告如下：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一、理财业务总体运行情况</w:t>
      </w:r>
    </w:p>
    <w:p>
      <w:pPr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报告期内四川银行共发行成立理财产品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期，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各类产品净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募集资金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110.97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亿元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;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到期理财产品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期，合计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66.64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亿元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;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截至202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月末，全行理财产品余额为134.42亿元。具体分类如下：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638"/>
        <w:gridCol w:w="1377"/>
        <w:gridCol w:w="1148"/>
        <w:gridCol w:w="1148"/>
        <w:gridCol w:w="11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459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13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发行</w:t>
            </w:r>
            <w:r>
              <w:rPr>
                <w:rStyle w:val="7"/>
                <w:rFonts w:hint="eastAsia" w:ascii="仿宋" w:hAnsi="仿宋" w:eastAsia="仿宋" w:cs="仿宋"/>
                <w:lang w:bidi="ar"/>
              </w:rPr>
              <w:t>数量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净募集</w:t>
            </w:r>
            <w:r>
              <w:rPr>
                <w:rStyle w:val="7"/>
                <w:rFonts w:hint="eastAsia" w:ascii="仿宋" w:hAnsi="仿宋" w:eastAsia="仿宋" w:cs="仿宋"/>
                <w:lang w:bidi="ar"/>
              </w:rPr>
              <w:t>金额(亿元)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到期数量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到期金额</w:t>
            </w:r>
            <w:r>
              <w:rPr>
                <w:rStyle w:val="7"/>
                <w:rFonts w:hint="eastAsia" w:ascii="仿宋" w:hAnsi="仿宋" w:eastAsia="仿宋" w:cs="仿宋"/>
                <w:lang w:bidi="ar"/>
              </w:rPr>
              <w:t>(亿元)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4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按募集方式划分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108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110.97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83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66.64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投资性质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划分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固定收益类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108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110.97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83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66.64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其他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按运作模式划分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封闭式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81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90.75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83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66.64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开放式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20.22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 xml:space="preserve">                                                                               </w:t>
      </w:r>
    </w:p>
    <w:p>
      <w:pPr>
        <w:numPr>
          <w:ilvl w:val="0"/>
          <w:numId w:val="1"/>
        </w:num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期末存续理财产品情况</w:t>
      </w:r>
    </w:p>
    <w:p>
      <w:pPr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截至2022年12末，我行存续理财产品共计115期，余额共计134.42亿元。具体分类及数据如下：</w:t>
      </w:r>
    </w:p>
    <w:tbl>
      <w:tblPr>
        <w:tblStyle w:val="3"/>
        <w:tblW w:w="8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1816"/>
        <w:gridCol w:w="1036"/>
        <w:gridCol w:w="1418"/>
        <w:gridCol w:w="1090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3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2022年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末数量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2022年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末(亿元)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2022年初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2022年初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余额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(亿元)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6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按募集方式划分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134.42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68.33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6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投资性质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划分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固定收益类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134.42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68.33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其他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按运作模式划分</w:t>
            </w:r>
            <w:r>
              <w:rPr>
                <w:rStyle w:val="6"/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footnoteReference w:id="0"/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封闭式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75.98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50.08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开放式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58.43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18.25</w:t>
            </w:r>
          </w:p>
        </w:tc>
      </w:tr>
    </w:tbl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三、 理财产品投资资产情况 </w:t>
      </w:r>
    </w:p>
    <w:p>
      <w:pPr>
        <w:ind w:left="64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1、期末投资资产情况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截至202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月末</w:t>
      </w:r>
      <w:r>
        <w:rPr>
          <w:rFonts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我行理财产品底层资产投资标的主要包含：债券、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同业存单、</w:t>
      </w:r>
      <w:r>
        <w:rPr>
          <w:rFonts w:hint="eastAsia" w:ascii="仿宋_GB2312" w:hAnsi="仿宋" w:eastAsia="仿宋_GB2312"/>
          <w:sz w:val="32"/>
          <w:szCs w:val="32"/>
        </w:rPr>
        <w:t>交易所质押式逆回购、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非标准化债权</w:t>
      </w:r>
      <w:r>
        <w:rPr>
          <w:rFonts w:hint="eastAsia" w:ascii="仿宋_GB2312" w:hAnsi="仿宋" w:eastAsia="仿宋_GB2312"/>
          <w:sz w:val="32"/>
          <w:szCs w:val="32"/>
        </w:rPr>
        <w:t>等，具体分类及占比如下：</w:t>
      </w:r>
    </w:p>
    <w:tbl>
      <w:tblPr>
        <w:tblStyle w:val="3"/>
        <w:tblW w:w="9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1533"/>
        <w:gridCol w:w="1701"/>
        <w:gridCol w:w="1612"/>
        <w:gridCol w:w="1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底层资产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年末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金额（亿元）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占比（%）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金额（亿元）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占比（%）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现金及银行存款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9.50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7.07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4.17 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交易所质押式逆回购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12.50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9.30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同业存单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21.40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15.93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7.54 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债券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77.67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57.80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48.68 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非标准化债权资产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13.30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9.90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134.37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100.00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67.70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</w:t>
            </w:r>
          </w:p>
        </w:tc>
      </w:tr>
    </w:tbl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ind w:firstLine="643" w:firstLineChars="200"/>
        <w:jc w:val="left"/>
      </w:pPr>
      <w:r>
        <w:rPr>
          <w:rFonts w:hint="eastAsia" w:ascii="仿宋" w:hAnsi="仿宋" w:eastAsia="仿宋"/>
          <w:b/>
          <w:bCs/>
          <w:sz w:val="32"/>
          <w:szCs w:val="32"/>
        </w:rPr>
        <w:t>2、非标准化债权类资产情况</w:t>
      </w:r>
    </w:p>
    <w:p>
      <w:pPr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截至2022年末,我行理财投资非标准化债权资产余额为13.3亿元（按资产本金），详情如下：</w:t>
      </w:r>
    </w:p>
    <w:tbl>
      <w:tblPr>
        <w:tblStyle w:val="4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363"/>
        <w:gridCol w:w="1191"/>
        <w:gridCol w:w="1191"/>
        <w:gridCol w:w="1603"/>
        <w:gridCol w:w="1380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363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融资客户</w:t>
            </w:r>
          </w:p>
        </w:tc>
        <w:tc>
          <w:tcPr>
            <w:tcW w:w="1191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金额（亿元）</w:t>
            </w:r>
          </w:p>
        </w:tc>
        <w:tc>
          <w:tcPr>
            <w:tcW w:w="1191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剩余融资期限</w:t>
            </w:r>
          </w:p>
        </w:tc>
        <w:tc>
          <w:tcPr>
            <w:tcW w:w="1603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到期收益分配</w:t>
            </w:r>
          </w:p>
        </w:tc>
        <w:tc>
          <w:tcPr>
            <w:tcW w:w="1380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交易结构</w:t>
            </w:r>
          </w:p>
        </w:tc>
        <w:tc>
          <w:tcPr>
            <w:tcW w:w="1017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四川银行四川锦程消费金融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有限责任公司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同业借款</w:t>
            </w:r>
          </w:p>
        </w:tc>
        <w:tc>
          <w:tcPr>
            <w:tcW w:w="1363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四川锦程消费金融有限责任公司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0.80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到期还本付息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同业借款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四川银行四川锦程消费金融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有限责任公司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同业借款</w:t>
            </w:r>
          </w:p>
        </w:tc>
        <w:tc>
          <w:tcPr>
            <w:tcW w:w="1363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四川锦程消费金融有限责任公司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2.00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到期还本付息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同业借款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四川银行四川锦程消费金融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有限责任公司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同业借款</w:t>
            </w:r>
          </w:p>
        </w:tc>
        <w:tc>
          <w:tcPr>
            <w:tcW w:w="1363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四川锦程消费金融有限责任公司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1.00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240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到期还本付息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同业借款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四川银行四川锦程消费金融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有限责任公司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同业借款</w:t>
            </w:r>
          </w:p>
        </w:tc>
        <w:tc>
          <w:tcPr>
            <w:tcW w:w="1363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四川锦程消费金融有限责任公司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1.00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107天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到期还本付息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同业借款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四川银行四川锦程消费金融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有限责任公司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同业借款</w:t>
            </w:r>
          </w:p>
        </w:tc>
        <w:tc>
          <w:tcPr>
            <w:tcW w:w="1363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四川锦程消费金融有限责任公司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1.00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天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到期还本付息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同业借款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成都香城投资集团有限公司2022年度第一期理财直接融资工具</w:t>
            </w:r>
          </w:p>
        </w:tc>
        <w:tc>
          <w:tcPr>
            <w:tcW w:w="1363" w:type="dxa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成都香城投资集团有限公司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2.50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356天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按季付息，到期还本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理财直接融资工具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中海汇誉2022-45郫都城乡流动资金贷款集合资金信托计划</w:t>
            </w:r>
          </w:p>
        </w:tc>
        <w:tc>
          <w:tcPr>
            <w:tcW w:w="1363" w:type="dxa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成都市郫都区城乡投资建设开发有限公司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3.00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601天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按季付息，到期还本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集合资金信托计划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中海汇誉2022-76香城城建流动资金贷款集合资金信托计划</w:t>
            </w:r>
          </w:p>
        </w:tc>
        <w:tc>
          <w:tcPr>
            <w:tcW w:w="1363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成都香城公园城市建设集团有限公司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2.00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684天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按季付息，到期还本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集合资金信托计划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Align w:val="top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363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91" w:type="dxa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13.30</w:t>
            </w:r>
          </w:p>
        </w:tc>
        <w:tc>
          <w:tcPr>
            <w:tcW w:w="1191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03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017" w:type="dxa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widowControl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四、其他信息 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根据《商业银行理财业务监督管理办法》（银保监令2018 </w:t>
      </w:r>
    </w:p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年第6号）披露要求，截至2022年末，我行理财产品投资于关联方资产总额12.90亿元（按资产本金），详情如下：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7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资产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997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金额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21港荣投资MTN001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22港荣投资MTN001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21攀国投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21天投Y2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21川发资管PPN001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21川能投MTN002B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21攀枝花投PPN001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21攀枝城投MTN001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21眉天01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21眉府01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22凉山发展MTN001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7" w:type="dxa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12.90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highlight w:val="yellow"/>
          <w:lang w:bidi="ar"/>
        </w:rPr>
      </w:pPr>
      <w:bookmarkStart w:id="0" w:name="_GoBack"/>
      <w:bookmarkEnd w:id="0"/>
    </w:p>
    <w:p>
      <w:pPr>
        <w:widowControl/>
        <w:jc w:val="righ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四川银行股份有限公司 </w:t>
      </w:r>
    </w:p>
    <w:p>
      <w:pPr>
        <w:widowControl/>
        <w:jc w:val="right"/>
      </w:pP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  <w:snapToGrid w:val="0"/>
        <w:rPr>
          <w:rFonts w:hint="default" w:eastAsiaTheme="minorEastAsia"/>
          <w:lang w:val="en-US" w:eastAsia="zh-CN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/>
          <w:lang w:val="en-US" w:eastAsia="zh-CN"/>
        </w:rPr>
        <w:t>因分项统计四舍五入原因，存在尾差情况。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3178B"/>
    <w:multiLevelType w:val="singleLevel"/>
    <w:tmpl w:val="D85317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mE5ZDJkNDJhNzAxZmZlNDY2YmZmZDczY2Q3ZGMifQ=="/>
  </w:docVars>
  <w:rsids>
    <w:rsidRoot w:val="7D585E88"/>
    <w:rsid w:val="000F4019"/>
    <w:rsid w:val="001E6268"/>
    <w:rsid w:val="00487416"/>
    <w:rsid w:val="007408A1"/>
    <w:rsid w:val="007E45D8"/>
    <w:rsid w:val="00816F92"/>
    <w:rsid w:val="00974096"/>
    <w:rsid w:val="009A6A7C"/>
    <w:rsid w:val="00EA3F20"/>
    <w:rsid w:val="02143A07"/>
    <w:rsid w:val="04A77240"/>
    <w:rsid w:val="0AF116BB"/>
    <w:rsid w:val="0B4861C6"/>
    <w:rsid w:val="0CB04EC9"/>
    <w:rsid w:val="15EB56C3"/>
    <w:rsid w:val="20494FC9"/>
    <w:rsid w:val="227E58B4"/>
    <w:rsid w:val="23671F9E"/>
    <w:rsid w:val="23EB25CB"/>
    <w:rsid w:val="2B561901"/>
    <w:rsid w:val="2B704D33"/>
    <w:rsid w:val="2BCC2A9E"/>
    <w:rsid w:val="33DE37FC"/>
    <w:rsid w:val="35E706E8"/>
    <w:rsid w:val="389F5823"/>
    <w:rsid w:val="420D1ED6"/>
    <w:rsid w:val="422212D1"/>
    <w:rsid w:val="4256654E"/>
    <w:rsid w:val="453C3DB3"/>
    <w:rsid w:val="458E5741"/>
    <w:rsid w:val="471809A4"/>
    <w:rsid w:val="4C8E3361"/>
    <w:rsid w:val="4F947C8B"/>
    <w:rsid w:val="4FA32CAA"/>
    <w:rsid w:val="5196484B"/>
    <w:rsid w:val="5354012A"/>
    <w:rsid w:val="5383403C"/>
    <w:rsid w:val="55CC4CE0"/>
    <w:rsid w:val="56051FA0"/>
    <w:rsid w:val="59981AA8"/>
    <w:rsid w:val="5A0D63A3"/>
    <w:rsid w:val="5C277537"/>
    <w:rsid w:val="6CC11A42"/>
    <w:rsid w:val="6DB22A8A"/>
    <w:rsid w:val="74443638"/>
    <w:rsid w:val="75ED4EDC"/>
    <w:rsid w:val="761E400A"/>
    <w:rsid w:val="7D585E88"/>
    <w:rsid w:val="7FF1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5"/>
    <w:qFormat/>
    <w:uiPriority w:val="0"/>
    <w:rPr>
      <w:vertAlign w:val="superscript"/>
    </w:rPr>
  </w:style>
  <w:style w:type="character" w:customStyle="1" w:styleId="7">
    <w:name w:val="font2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9CB5-2A47-4208-93C8-7A763848E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1215</Words>
  <Characters>1565</Characters>
  <Lines>9</Lines>
  <Paragraphs>2</Paragraphs>
  <TotalTime>2</TotalTime>
  <ScaleCrop>false</ScaleCrop>
  <LinksUpToDate>false</LinksUpToDate>
  <CharactersWithSpaces>1661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2021-02-26T02:49:00Z</dcterms:created>
  <dc:creator>苏晓雅</dc:creator>
  <cp:lastModifiedBy>qinfei</cp:lastModifiedBy>
  <dcterms:modified xsi:type="dcterms:W3CDTF">2023-03-31T01:26:56Z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8DC5AA2BE3414294BE8D2654B0E34201</vt:lpwstr>
  </property>
</Properties>
</file>