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48"/>
        </w:rPr>
      </w:pPr>
    </w:p>
    <w:p>
      <w:pPr>
        <w:rPr>
          <w:sz w:val="48"/>
        </w:rPr>
      </w:pP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 xml:space="preserve">四川银行定开系列3个月5号净值型理财产品 </w:t>
      </w: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2022年年度</w:t>
      </w:r>
      <w:r>
        <w:rPr>
          <w:rFonts w:hint="eastAsia" w:ascii="宋体" w:hAnsi="宋体"/>
          <w:b/>
          <w:bCs/>
          <w:sz w:val="48"/>
          <w:szCs w:val="30"/>
        </w:rPr>
        <w:t>报告</w:t>
      </w: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hint="eastAsia" w:ascii="宋体" w:hAnsi="宋体"/>
          <w:b/>
          <w:bCs/>
          <w:sz w:val="28"/>
          <w:szCs w:val="30"/>
        </w:rPr>
        <w:t>重要提示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hint="eastAsia" w:ascii="宋体" w:hAnsi="宋体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产品管理人承诺以诚实信用、勤勉尽责的原则管理和运用理财资产，但不保证一定盈利。产品的过往业绩并不代表其未来表现。投资有风险，投资者在作出投资决策前应仔细阅读本产品的发行文件。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本报告中财务资料未经审计。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hint="eastAsia" w:ascii="宋体" w:hAnsi="宋体"/>
          <w:szCs w:val="21"/>
        </w:rPr>
        <w:t>自2022-05-06起至2022-12-31</w:t>
      </w:r>
      <w:r>
        <w:rPr>
          <w:rFonts w:ascii="宋体" w:hAnsi="宋体"/>
          <w:szCs w:val="21"/>
        </w:rPr>
        <w:t>止。</w:t>
      </w:r>
    </w:p>
    <w:p>
      <w:pPr>
        <w:pStyle w:val="40"/>
      </w:pPr>
      <w:r>
        <w:rPr>
          <w:rFonts w:hint="eastAsia"/>
        </w:rPr>
        <w:t xml:space="preserve">产品基本情况 </w:t>
      </w:r>
    </w:p>
    <w:tbl>
      <w:tblPr>
        <w:tblStyle w:val="17"/>
        <w:tblW w:w="0" w:type="auto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四川银行定开系列3个月5号净值型理财产品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C1438122000020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ind w:right="-107" w:rightChars="-51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2022-05-06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9999-12-31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hint="eastAsia" w:ascii="宋体" w:hAnsi="宋体"/>
              </w:rPr>
              <w:t>206,987,000.00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[3.8%-4%]/年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>
      <w:pPr>
        <w:pStyle w:val="40"/>
      </w:pPr>
      <w:r>
        <w:rPr>
          <w:rFonts w:hint="eastAsia"/>
        </w:rPr>
        <w:t>产品收益表现</w:t>
      </w:r>
    </w:p>
    <w:tbl>
      <w:tblPr>
        <w:tblStyle w:val="17"/>
        <w:tblW w:w="8956" w:type="dxa"/>
        <w:tblInd w:w="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3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38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当期（</w:t>
            </w:r>
            <w:r>
              <w:rPr>
                <w:rFonts w:ascii="宋体" w:hAnsi="宋体"/>
              </w:rPr>
              <w:t>2022-05-06</w:t>
            </w:r>
            <w:r>
              <w:rPr>
                <w:rFonts w:hint="eastAsia" w:ascii="宋体" w:hAnsi="宋体"/>
              </w:rPr>
              <w:t>至</w:t>
            </w:r>
            <w:r>
              <w:rPr>
                <w:rFonts w:ascii="宋体" w:hAnsi="宋体"/>
              </w:rPr>
              <w:t>2022-12-31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自产品成立日至今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1.56</w:t>
            </w:r>
            <w:bookmarkStart w:id="1" w:name="OLE_LINK7"/>
            <w:bookmarkEnd w:id="1"/>
            <w:bookmarkStart w:id="2" w:name="OLE_LINK4"/>
            <w:bookmarkEnd w:id="2"/>
          </w:p>
        </w:tc>
      </w:tr>
    </w:tbl>
    <w:p>
      <w:pPr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主要财务指标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8865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838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b/>
              </w:rPr>
              <w:t>2022-05-06</w:t>
            </w:r>
            <w:r>
              <w:rPr>
                <w:rFonts w:hint="eastAsia"/>
                <w:b/>
              </w:rPr>
              <w:t xml:space="preserve">至 </w:t>
            </w:r>
            <w:r>
              <w:rPr>
                <w:b/>
              </w:rPr>
              <w:t>2022-12-31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2,990,423.25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822,299.07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206,166,700.39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0.996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期末产品份额累计净值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ascii="宋体" w:hAnsi="宋体"/>
              </w:rPr>
              <w:t>.0156</w:t>
            </w:r>
          </w:p>
        </w:tc>
      </w:tr>
    </w:tbl>
    <w:p>
      <w:pPr>
        <w:tabs>
          <w:tab w:val="left" w:pos="3135"/>
        </w:tabs>
        <w:ind w:left="420" w:left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投资组合情况及</w:t>
      </w:r>
      <w:r>
        <w:t>流动性风险分析</w:t>
      </w: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1"/>
        <w:spacing w:before="156" w:after="156"/>
      </w:pPr>
      <w:r>
        <w:rPr>
          <w:rFonts w:hint="eastAsia"/>
          <w:b w:val="0"/>
        </w:rPr>
        <w:t>期末资产组合情况</w:t>
      </w:r>
    </w:p>
    <w:p>
      <w:pPr>
        <w:rPr>
          <w:lang w:val="zh-CN"/>
        </w:rPr>
      </w:pPr>
    </w:p>
    <w:p>
      <w:pPr>
        <w:jc w:val="right"/>
      </w:pPr>
    </w:p>
    <w:p>
      <w:pPr>
        <w:jc w:val="right"/>
      </w:pPr>
    </w:p>
    <w:p>
      <w:pPr>
        <w:jc w:val="right"/>
      </w:pPr>
      <w:r>
        <w:rPr>
          <w:rFonts w:hint="eastAsia"/>
        </w:rPr>
        <w:t>金额单位：元</w:t>
      </w:r>
    </w:p>
    <w:tbl>
      <w:tblPr>
        <w:tblStyle w:val="17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447"/>
        <w:gridCol w:w="1697"/>
        <w:gridCol w:w="1749"/>
        <w:gridCol w:w="1653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175,742,327.50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85.21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175,742,327.50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85.21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金融衍生品投资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24,992,547.62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12.12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5,169,950.27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2.51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340,955.94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0.17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206,245,781.33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100.00</w:t>
            </w:r>
          </w:p>
        </w:tc>
        <w:tc>
          <w:tcPr>
            <w:tcW w:w="1653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</w:tbl>
    <w:p>
      <w:pPr>
        <w:ind w:left="420" w:leftChars="200"/>
        <w:jc w:val="left"/>
        <w:rPr>
          <w:rFonts w:ascii="宋体" w:hAnsi="宋体"/>
          <w:sz w:val="24"/>
        </w:rPr>
      </w:pPr>
    </w:p>
    <w:p>
      <w:pPr>
        <w:ind w:left="420" w:leftChars="200"/>
        <w:jc w:val="left"/>
        <w:rPr>
          <w:rFonts w:asciiTheme="minorEastAsia" w:hAnsiTheme="minorEastAsia" w:eastAsiaTheme="minorEastAsia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>
      <w:pPr>
        <w:widowControl/>
        <w:jc w:val="left"/>
        <w:rPr>
          <w:rFonts w:ascii="宋体" w:hAnsi="宋体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159"/>
        <w:gridCol w:w="2693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7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占产品资产净值比例（%）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GC001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24,992,547.62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12.12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21天投Y2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18,677,810.96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21东方电气MTN002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18,299,924.38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20达州投资MTN002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18,266,247.12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22中原银行CD398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16,990,016.61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21眉府01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16,778,528.36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22温国01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16,520,926.03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22达州D1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13,129,038.36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19广元01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8,332,767.12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22内建01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7,832,843.84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bookmarkStart w:id="3" w:name="OLE_LINK5"/>
            <w:bookmarkStart w:id="4" w:name="OLE_LINK6"/>
            <w:r>
              <w:rPr>
                <w:rFonts w:ascii="宋体" w:hAnsi="宋体"/>
              </w:rPr>
              <w:t>3.80</w:t>
            </w:r>
            <w:bookmarkEnd w:id="3"/>
            <w:bookmarkEnd w:id="4"/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ind w:left="424" w:leftChars="202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注：前十项资产明细仅包含证券投资、场外投资，不包含银行存款、存出保证金、清算备付金等资产。</w:t>
      </w:r>
    </w:p>
    <w:p>
      <w:pPr>
        <w:pStyle w:val="40"/>
      </w:pPr>
      <w:r>
        <w:t>托管人报告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>
      <w:pPr>
        <w:pStyle w:val="40"/>
      </w:pPr>
      <w:r>
        <w:rPr>
          <w:rFonts w:hint="eastAsia"/>
          <w:lang w:val="en-US"/>
        </w:rPr>
        <w:t>关联交易情况说明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本报告期末，本产品投资的21天投Y2、21眉府01属于关联交易。</w:t>
      </w:r>
    </w:p>
    <w:p>
      <w:pPr>
        <w:pStyle w:val="40"/>
      </w:pPr>
      <w:r>
        <w:rPr>
          <w:rFonts w:hint="eastAsia"/>
          <w:lang w:val="en-US"/>
        </w:rPr>
        <w:t>其他</w:t>
      </w:r>
    </w:p>
    <w:p>
      <w:pPr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 xml:space="preserve">    无</w:t>
      </w:r>
    </w:p>
    <w:p>
      <w:pPr>
        <w:jc w:val="left"/>
        <w:rPr>
          <w:rFonts w:asciiTheme="minorEastAsia" w:hAnsiTheme="minorEastAsia" w:eastAsiaTheme="minorEastAsia"/>
          <w:szCs w:val="21"/>
        </w:rPr>
      </w:pPr>
      <w:bookmarkStart w:id="5" w:name="_GoBack"/>
      <w:bookmarkEnd w:id="5"/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2023-03-31</w:t>
      </w:r>
      <w:r>
        <w:rPr>
          <w:rFonts w:hint="eastAsia" w:ascii="宋体" w:hAnsi="宋体"/>
          <w:sz w:val="28"/>
          <w:szCs w:val="28"/>
        </w:rPr>
        <w:t xml:space="preserve">                   </w:t>
      </w:r>
    </w:p>
    <w:sectPr>
      <w:footerReference r:id="rId3" w:type="default"/>
      <w:footerReference r:id="rId4" w:type="even"/>
      <w:pgSz w:w="11906" w:h="16838"/>
      <w:pgMar w:top="1440" w:right="1531" w:bottom="1134" w:left="1531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  <w:rFonts w:hint="eastAsia"/>
      </w:rPr>
      <w:t xml:space="preserve"> </w:t>
    </w:r>
  </w:p>
  <w:p>
    <w:pPr>
      <w:pStyle w:val="10"/>
      <w:ind w:right="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>
    <w:pPr>
      <w:pStyle w:val="10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7D73EE"/>
    <w:multiLevelType w:val="multilevel"/>
    <w:tmpl w:val="547D73EE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41"/>
      <w:suff w:val="space"/>
      <w:lvlText w:val="%1.%2"/>
      <w:lvlJc w:val="left"/>
      <w:pPr>
        <w:ind w:left="454" w:hanging="454"/>
      </w:pPr>
      <w:rPr>
        <w:rFonts w:hint="eastAsia"/>
      </w:rPr>
    </w:lvl>
    <w:lvl w:ilvl="2" w:tentative="0">
      <w:start w:val="1"/>
      <w:numFmt w:val="decimal"/>
      <w:pStyle w:val="42"/>
      <w:suff w:val="space"/>
      <w:lvlText w:val="%1.%2.%3"/>
      <w:lvlJc w:val="left"/>
      <w:pPr>
        <w:ind w:left="1050" w:hanging="624"/>
      </w:pPr>
      <w:rPr>
        <w:rFonts w:hint="eastAsia"/>
      </w:rPr>
    </w:lvl>
    <w:lvl w:ilvl="3" w:tentative="0">
      <w:start w:val="1"/>
      <w:numFmt w:val="decimal"/>
      <w:pStyle w:val="43"/>
      <w:suff w:val="space"/>
      <w:lvlText w:val="%1.%2.%3.%4"/>
      <w:lvlJc w:val="left"/>
      <w:pPr>
        <w:ind w:left="794" w:hanging="794"/>
      </w:pPr>
      <w:rPr>
        <w:rFonts w:hint="eastAsia"/>
      </w:rPr>
    </w:lvl>
    <w:lvl w:ilvl="4" w:tentative="0">
      <w:start w:val="1"/>
      <w:numFmt w:val="decimal"/>
      <w:pStyle w:val="44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 w:tentative="0">
      <w:start w:val="1"/>
      <w:numFmt w:val="decimal"/>
      <w:pStyle w:val="45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 w:tentative="0">
      <w:start w:val="1"/>
      <w:numFmt w:val="decimal"/>
      <w:pStyle w:val="40"/>
      <w:lvlText w:val="%1、"/>
      <w:lvlJc w:val="left"/>
      <w:pPr>
        <w:ind w:left="420" w:hanging="420"/>
      </w:pPr>
      <w:rPr>
        <w:rFonts w:hint="eastAsia"/>
        <w:spacing w:val="-2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ViNmE5ZDJkNDJhNzAxZmZlNDY2YmZmZDczY2Q3ZGMifQ=="/>
  </w:docVars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77830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4EF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5C9D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33442606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5">
    <w:name w:val="heading 4"/>
    <w:basedOn w:val="1"/>
    <w:next w:val="1"/>
    <w:link w:val="33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uiPriority w:val="0"/>
    <w:pPr>
      <w:shd w:val="clear" w:color="auto" w:fill="000080"/>
    </w:pPr>
  </w:style>
  <w:style w:type="paragraph" w:styleId="7">
    <w:name w:val="annotation text"/>
    <w:basedOn w:val="1"/>
    <w:uiPriority w:val="0"/>
    <w:pPr>
      <w:jc w:val="left"/>
    </w:pPr>
  </w:style>
  <w:style w:type="paragraph" w:styleId="8">
    <w:name w:val="Date"/>
    <w:basedOn w:val="1"/>
    <w:next w:val="1"/>
    <w:link w:val="48"/>
    <w:uiPriority w:val="0"/>
    <w:rPr>
      <w:rFonts w:ascii="宋体"/>
      <w:sz w:val="32"/>
      <w:lang w:val="zh-CN"/>
    </w:rPr>
  </w:style>
  <w:style w:type="paragraph" w:styleId="9">
    <w:name w:val="Balloon Text"/>
    <w:basedOn w:val="1"/>
    <w:uiPriority w:val="0"/>
    <w:rPr>
      <w:sz w:val="18"/>
      <w:szCs w:val="18"/>
    </w:r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3"/>
    <w:next w:val="4"/>
    <w:link w:val="25"/>
    <w:qFormat/>
    <w:uiPriority w:val="0"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13">
    <w:name w:val="footnote text"/>
    <w:basedOn w:val="1"/>
    <w:link w:val="47"/>
    <w:uiPriority w:val="0"/>
    <w:pPr>
      <w:snapToGrid w:val="0"/>
      <w:jc w:val="left"/>
    </w:pPr>
    <w:rPr>
      <w:sz w:val="18"/>
      <w:szCs w:val="18"/>
      <w:lang w:val="zh-CN"/>
    </w:rPr>
  </w:style>
  <w:style w:type="paragraph" w:styleId="1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5">
    <w:name w:val="Title"/>
    <w:basedOn w:val="2"/>
    <w:next w:val="3"/>
    <w:link w:val="28"/>
    <w:qFormat/>
    <w:uiPriority w:val="10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16">
    <w:name w:val="annotation subject"/>
    <w:basedOn w:val="7"/>
    <w:next w:val="7"/>
    <w:qFormat/>
    <w:uiPriority w:val="0"/>
    <w:rPr>
      <w:b/>
      <w:bCs/>
    </w:rPr>
  </w:style>
  <w:style w:type="table" w:styleId="18">
    <w:name w:val="Table Grid"/>
    <w:basedOn w:val="1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uiPriority w:val="0"/>
  </w:style>
  <w:style w:type="character" w:styleId="21">
    <w:name w:val="annotation reference"/>
    <w:uiPriority w:val="0"/>
    <w:rPr>
      <w:sz w:val="21"/>
      <w:szCs w:val="21"/>
    </w:rPr>
  </w:style>
  <w:style w:type="character" w:styleId="22">
    <w:name w:val="footnote reference"/>
    <w:qFormat/>
    <w:uiPriority w:val="0"/>
    <w:rPr>
      <w:vertAlign w:val="superscript"/>
    </w:rPr>
  </w:style>
  <w:style w:type="character" w:customStyle="1" w:styleId="23">
    <w:name w:val="标题 3 字符"/>
    <w:link w:val="4"/>
    <w:qFormat/>
    <w:uiPriority w:val="9"/>
    <w:rPr>
      <w:b/>
      <w:bCs/>
      <w:sz w:val="32"/>
      <w:szCs w:val="32"/>
    </w:rPr>
  </w:style>
  <w:style w:type="character" w:customStyle="1" w:styleId="24">
    <w:name w:val="CODE"/>
    <w:uiPriority w:val="0"/>
    <w:rPr>
      <w:rFonts w:ascii="Courier New" w:hAnsi="Courier New"/>
      <w:spacing w:val="-10"/>
      <w:sz w:val="20"/>
      <w:lang w:val="en-GB" w:eastAsia="zh-CN"/>
    </w:rPr>
  </w:style>
  <w:style w:type="character" w:customStyle="1" w:styleId="25">
    <w:name w:val="副标题 字符"/>
    <w:link w:val="12"/>
    <w:uiPriority w:val="0"/>
    <w:rPr>
      <w:rFonts w:ascii="Cambria" w:hAnsi="Cambria" w:eastAsia="宋体" w:cs="Times New Roman"/>
      <w:b/>
      <w:kern w:val="28"/>
      <w:sz w:val="24"/>
      <w:szCs w:val="32"/>
    </w:rPr>
  </w:style>
  <w:style w:type="character" w:customStyle="1" w:styleId="26">
    <w:name w:val="标题 1 字符"/>
    <w:link w:val="2"/>
    <w:uiPriority w:val="9"/>
    <w:rPr>
      <w:b/>
      <w:bCs/>
      <w:kern w:val="44"/>
      <w:sz w:val="44"/>
      <w:szCs w:val="44"/>
    </w:rPr>
  </w:style>
  <w:style w:type="character" w:customStyle="1" w:styleId="27">
    <w:name w:val="标题 2 字符"/>
    <w:link w:val="3"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8">
    <w:name w:val="标题 字符"/>
    <w:link w:val="15"/>
    <w:qFormat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29">
    <w:name w:val="xl33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30">
    <w:name w:val="Char Char Char Char Char Char1 Char Char Char"/>
    <w:basedOn w:val="1"/>
    <w:uiPriority w:val="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31">
    <w:name w:val="次标题"/>
    <w:basedOn w:val="4"/>
    <w:next w:val="1"/>
    <w:qFormat/>
    <w:uiPriority w:val="0"/>
    <w:pPr>
      <w:jc w:val="left"/>
    </w:pPr>
    <w:rPr>
      <w:rFonts w:ascii="宋体" w:hAnsi="宋体"/>
      <w:sz w:val="24"/>
      <w:szCs w:val="24"/>
    </w:rPr>
  </w:style>
  <w:style w:type="paragraph" w:customStyle="1" w:styleId="32">
    <w:name w:val="Char"/>
    <w:basedOn w:val="1"/>
    <w:uiPriority w:val="0"/>
  </w:style>
  <w:style w:type="character" w:customStyle="1" w:styleId="33">
    <w:name w:val="标题 4 字符"/>
    <w:link w:val="5"/>
    <w:semiHidden/>
    <w:uiPriority w:val="0"/>
    <w:rPr>
      <w:rFonts w:ascii="Cambria" w:hAnsi="Cambria" w:eastAsia="宋体" w:cs="Times New Roman"/>
      <w:b/>
      <w:bCs/>
      <w:sz w:val="28"/>
      <w:szCs w:val="28"/>
    </w:rPr>
  </w:style>
  <w:style w:type="paragraph" w:customStyle="1" w:styleId="34">
    <w:name w:val="XBRL标题1"/>
    <w:basedOn w:val="2"/>
    <w:next w:val="3"/>
    <w:qFormat/>
    <w:uiPriority w:val="0"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35">
    <w:name w:val="XBRL标题2"/>
    <w:basedOn w:val="12"/>
    <w:next w:val="5"/>
    <w:qFormat/>
    <w:uiPriority w:val="0"/>
    <w:pPr>
      <w:spacing w:beforeLines="50" w:afterLines="50" w:line="240" w:lineRule="auto"/>
    </w:pPr>
    <w:rPr>
      <w:bCs/>
    </w:rPr>
  </w:style>
  <w:style w:type="paragraph" w:customStyle="1" w:styleId="36">
    <w:name w:val="XBRL标题3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7">
    <w:name w:val="XBRL标题4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8">
    <w:name w:val="XBRL标题5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9">
    <w:name w:val="XBRL标题6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40">
    <w:name w:val="XBRLTitle1"/>
    <w:basedOn w:val="2"/>
    <w:next w:val="3"/>
    <w:qFormat/>
    <w:uiPriority w:val="0"/>
    <w:pPr>
      <w:numPr>
        <w:ilvl w:val="0"/>
        <w:numId w:val="1"/>
      </w:numPr>
      <w:spacing w:before="156" w:beforeLines="50" w:after="156" w:afterLines="50" w:line="240" w:lineRule="auto"/>
      <w:jc w:val="left"/>
    </w:pPr>
    <w:rPr>
      <w:rFonts w:ascii="Cambria" w:hAnsi="Cambria"/>
      <w:sz w:val="28"/>
    </w:rPr>
  </w:style>
  <w:style w:type="paragraph" w:customStyle="1" w:styleId="41">
    <w:name w:val="XBRLTitle2"/>
    <w:basedOn w:val="12"/>
    <w:next w:val="5"/>
    <w:qFormat/>
    <w:uiPriority w:val="0"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42">
    <w:name w:val="XBRLTitle3"/>
    <w:basedOn w:val="12"/>
    <w:next w:val="5"/>
    <w:qFormat/>
    <w:uiPriority w:val="0"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3">
    <w:name w:val="XBRLTitle4"/>
    <w:basedOn w:val="12"/>
    <w:next w:val="5"/>
    <w:qFormat/>
    <w:uiPriority w:val="0"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4">
    <w:name w:val="XBRLTitle5"/>
    <w:basedOn w:val="12"/>
    <w:next w:val="5"/>
    <w:qFormat/>
    <w:uiPriority w:val="0"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5">
    <w:name w:val="XBRLTitle6"/>
    <w:basedOn w:val="12"/>
    <w:next w:val="5"/>
    <w:qFormat/>
    <w:uiPriority w:val="0"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6">
    <w:name w:val="Default"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47">
    <w:name w:val="脚注文本 字符"/>
    <w:link w:val="13"/>
    <w:uiPriority w:val="0"/>
    <w:rPr>
      <w:kern w:val="2"/>
      <w:sz w:val="18"/>
      <w:szCs w:val="18"/>
    </w:rPr>
  </w:style>
  <w:style w:type="character" w:customStyle="1" w:styleId="48">
    <w:name w:val="日期 字符"/>
    <w:link w:val="8"/>
    <w:uiPriority w:val="0"/>
    <w:rPr>
      <w:rFonts w:ascii="宋体"/>
      <w:kern w:val="2"/>
      <w:sz w:val="32"/>
    </w:rPr>
  </w:style>
  <w:style w:type="paragraph" w:styleId="49">
    <w:name w:val="List Paragraph"/>
    <w:basedOn w:val="1"/>
    <w:qFormat/>
    <w:uiPriority w:val="34"/>
    <w:pPr>
      <w:ind w:firstLine="420" w:firstLineChars="200"/>
    </w:pPr>
  </w:style>
  <w:style w:type="paragraph" w:customStyle="1" w:styleId="50">
    <w:name w:val="Char1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F4B73-763E-4DA1-B204-6E4DBF577E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331</Words>
  <Characters>1889</Characters>
  <Lines>15</Lines>
  <Paragraphs>4</Paragraphs>
  <TotalTime>0</TotalTime>
  <ScaleCrop>false</ScaleCrop>
  <LinksUpToDate>false</LinksUpToDate>
  <CharactersWithSpaces>2216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2020-01-07T12:08:00Z</dcterms:created>
  <dc:creator>yss</dc:creator>
  <cp:lastModifiedBy>苏晓雅</cp:lastModifiedBy>
  <cp:lastPrinted>2411-12-31T15:59:00Z</cp:lastPrinted>
  <dcterms:modified xsi:type="dcterms:W3CDTF">2023-02-16T04:13:06Z</dcterms:modified>
  <dc:title>gongGaoMingCheng</dc:title>
  <cp:revision>150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CFA0FB603A20441BA92DB45CC749472B</vt:lpwstr>
  </property>
</Properties>
</file>