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四川银行定开系列6个月16号净值型理财产品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2022年年度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自2022-04-19起至2022-12-31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</w:rPr>
        <w:t xml:space="preserve">产品基本情况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四川银行定开系列6个月16号净值型理财产品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2022-04-19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172,910,732.00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</w:pPr>
      <w:r>
        <w:rPr>
          <w:rFonts w:hint="eastAsia"/>
        </w:rPr>
        <w:t>产品收益表现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2022-04-19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1.61</w:t>
            </w:r>
            <w:bookmarkStart w:id="1" w:name="OLE_LINK4"/>
            <w:bookmarkEnd w:id="1"/>
            <w:bookmarkStart w:id="2" w:name="OLE_LINK7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2022-04-19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4,104,075.33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2,229,805.33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172,251,055.47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.0161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投资组合情况及</w:t>
      </w:r>
      <w: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98,719,909.56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57.29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98,719,909.56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57.29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3,153,295.05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1.83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70,439,386.64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40.88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172,312,591.25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四川银行四川锦程消费金融同业借款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70,433,200.10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40.89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21眉府01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15,884,997.26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22凉山发展MTN001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15,632,732.88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17兴蜀专项债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11,961,980.38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21攀国投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10,773,794.52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22彭城建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9,881,005.48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17江苏开投债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8,132,318.90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17老河口债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8,030,300.27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22眉控01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7,739,408.22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22眉资01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4,040,115.07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2.35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/>
        </w:rPr>
        <w:t>关联交易情况说明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本报告期末，本产品投资的21眉府01、21攀国投、22凉山发展MTN001属于关联交易。</w:t>
      </w:r>
    </w:p>
    <w:p>
      <w:pPr>
        <w:pStyle w:val="40"/>
      </w:pPr>
      <w:r>
        <w:rPr>
          <w:rFonts w:hint="eastAsia"/>
          <w:lang w:val="en-US"/>
        </w:rPr>
        <w:t>其他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非标投资情况：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363"/>
        <w:gridCol w:w="1191"/>
        <w:gridCol w:w="1603"/>
        <w:gridCol w:w="1380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363" w:type="dxa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融资客户</w:t>
            </w:r>
          </w:p>
        </w:tc>
        <w:tc>
          <w:tcPr>
            <w:tcW w:w="1191" w:type="dxa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剩余融资期限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到期收益分配</w:t>
            </w:r>
          </w:p>
        </w:tc>
        <w:tc>
          <w:tcPr>
            <w:tcW w:w="1380" w:type="dxa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交易结构</w:t>
            </w:r>
          </w:p>
        </w:tc>
        <w:tc>
          <w:tcPr>
            <w:tcW w:w="1124" w:type="dxa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</w:tcPr>
          <w:p>
            <w:pPr>
              <w:rPr>
                <w:rFonts w:eastAsiaTheme="minorEastAsia"/>
              </w:rPr>
            </w:pPr>
            <w:r>
              <w:rPr>
                <w:rFonts w:ascii="宋体" w:hAnsi="宋体"/>
                <w:szCs w:val="21"/>
              </w:rPr>
              <w:t>四川银行四川锦</w:t>
            </w:r>
            <w:r>
              <w:rPr>
                <w:rFonts w:hint="eastAsia" w:ascii="宋体" w:hAnsi="宋体"/>
                <w:szCs w:val="21"/>
              </w:rPr>
              <w:t>程</w:t>
            </w:r>
            <w:r>
              <w:rPr>
                <w:rFonts w:ascii="宋体" w:hAnsi="宋体"/>
                <w:szCs w:val="21"/>
              </w:rPr>
              <w:t>消费金融同业借款</w:t>
            </w:r>
          </w:p>
        </w:tc>
        <w:tc>
          <w:tcPr>
            <w:tcW w:w="1363" w:type="dxa"/>
          </w:tcPr>
          <w:p>
            <w:r>
              <w:rPr>
                <w:rFonts w:hint="eastAsia"/>
              </w:rPr>
              <w:t>四川锦程消费金融有限责任公司</w:t>
            </w:r>
          </w:p>
        </w:tc>
        <w:tc>
          <w:tcPr>
            <w:tcW w:w="1191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/>
              </w:rPr>
              <w:t>107天</w:t>
            </w:r>
          </w:p>
        </w:tc>
        <w:tc>
          <w:tcPr>
            <w:tcW w:w="1603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/>
              </w:rPr>
              <w:t>到期还本付息</w:t>
            </w:r>
          </w:p>
        </w:tc>
        <w:tc>
          <w:tcPr>
            <w:tcW w:w="1380" w:type="dxa"/>
          </w:tcPr>
          <w:p>
            <w:r>
              <w:rPr>
                <w:rFonts w:hint="eastAsia"/>
              </w:rPr>
              <w:t>同业借款</w:t>
            </w:r>
          </w:p>
        </w:tc>
        <w:tc>
          <w:tcPr>
            <w:tcW w:w="1124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/>
              </w:rPr>
              <w:t>正常</w:t>
            </w:r>
          </w:p>
        </w:tc>
      </w:tr>
    </w:tbl>
    <w:p>
      <w:pPr>
        <w:jc w:val="left"/>
        <w:rPr>
          <w:rFonts w:asciiTheme="minorEastAsia" w:hAnsiTheme="minorEastAsia" w:eastAsiaTheme="minorEastAsia"/>
          <w:szCs w:val="21"/>
        </w:rPr>
      </w:pPr>
      <w:bookmarkStart w:id="5" w:name="_GoBack"/>
      <w:bookmarkEnd w:id="5"/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2023-03-31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2274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18FB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06236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D7FB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2742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078D5D8A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uiPriority w:val="0"/>
    <w:pPr>
      <w:shd w:val="clear" w:color="auto" w:fill="000080"/>
    </w:p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Date"/>
    <w:basedOn w:val="1"/>
    <w:next w:val="1"/>
    <w:link w:val="48"/>
    <w:uiPriority w:val="0"/>
    <w:rPr>
      <w:rFonts w:ascii="宋体"/>
      <w:sz w:val="32"/>
      <w:lang w:val="zh-CN"/>
    </w:rPr>
  </w:style>
  <w:style w:type="paragraph" w:styleId="9">
    <w:name w:val="Balloon Text"/>
    <w:basedOn w:val="1"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uiPriority w:val="0"/>
    <w:rPr>
      <w:b/>
      <w:bCs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uiPriority w:val="0"/>
    <w:rPr>
      <w:vertAlign w:val="superscript"/>
    </w:rPr>
  </w:style>
  <w:style w:type="character" w:customStyle="1" w:styleId="23">
    <w:name w:val="标题 3 Char"/>
    <w:link w:val="4"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Char"/>
    <w:link w:val="12"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Char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2 Char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Char"/>
    <w:link w:val="15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uiPriority w:val="0"/>
  </w:style>
  <w:style w:type="character" w:customStyle="1" w:styleId="33">
    <w:name w:val="标题 4 Char"/>
    <w:link w:val="5"/>
    <w:semiHidden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Char"/>
    <w:link w:val="13"/>
    <w:uiPriority w:val="0"/>
    <w:rPr>
      <w:kern w:val="2"/>
      <w:sz w:val="18"/>
      <w:szCs w:val="18"/>
    </w:rPr>
  </w:style>
  <w:style w:type="character" w:customStyle="1" w:styleId="48">
    <w:name w:val="日期 Char"/>
    <w:link w:val="8"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106C1-F51C-4CBC-98E3-77AB652EB6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332</Words>
  <Characters>1896</Characters>
  <Lines>15</Lines>
  <Paragraphs>4</Paragraphs>
  <TotalTime>0</TotalTime>
  <ScaleCrop>false</ScaleCrop>
  <LinksUpToDate>false</LinksUpToDate>
  <CharactersWithSpaces>2224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2411-12-31T15:59:00Z</cp:lastPrinted>
  <dcterms:modified xsi:type="dcterms:W3CDTF">2023-02-16T04:27:32Z</dcterms:modified>
  <dc:title>gongGaoMingCheng</dc:title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33562761036D4CDB80E695B2FD6C7A8F</vt:lpwstr>
  </property>
</Properties>
</file>