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5028E" w:rsidRDefault="0005028E">
      <w:pPr>
        <w:rPr>
          <w:sz w:val="48"/>
        </w:rPr>
      </w:pPr>
    </w:p>
    <w:p w:rsidR="0005028E" w:rsidRDefault="0005028E">
      <w:pPr>
        <w:rPr>
          <w:sz w:val="48"/>
        </w:rPr>
      </w:pPr>
    </w:p>
    <w:p w:rsidR="0005028E" w:rsidRDefault="00542B02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四川银行定</w:t>
      </w:r>
      <w:proofErr w:type="gramStart"/>
      <w:r>
        <w:rPr>
          <w:rFonts w:ascii="宋体" w:hAnsi="宋体"/>
          <w:b/>
          <w:bCs/>
          <w:sz w:val="48"/>
          <w:szCs w:val="30"/>
        </w:rPr>
        <w:t>开系列</w:t>
      </w:r>
      <w:proofErr w:type="gramEnd"/>
      <w:r>
        <w:rPr>
          <w:rFonts w:ascii="宋体" w:hAnsi="宋体"/>
          <w:b/>
          <w:bCs/>
          <w:sz w:val="48"/>
          <w:szCs w:val="30"/>
        </w:rPr>
        <w:t xml:space="preserve">6个月1号净值型理财产品 </w:t>
      </w:r>
    </w:p>
    <w:p w:rsidR="0005028E" w:rsidRDefault="00542B02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2023年第1季度</w:t>
      </w:r>
      <w:r>
        <w:rPr>
          <w:rFonts w:ascii="宋体" w:hAnsi="宋体" w:hint="eastAsia"/>
          <w:b/>
          <w:bCs/>
          <w:sz w:val="48"/>
          <w:szCs w:val="30"/>
        </w:rPr>
        <w:t>报告</w:t>
      </w:r>
    </w:p>
    <w:p w:rsidR="0005028E" w:rsidRDefault="0005028E">
      <w:pPr>
        <w:jc w:val="center"/>
        <w:rPr>
          <w:rFonts w:ascii="宋体" w:hAnsi="宋体"/>
          <w:b/>
          <w:bCs/>
          <w:sz w:val="28"/>
          <w:szCs w:val="30"/>
        </w:rPr>
      </w:pPr>
    </w:p>
    <w:p w:rsidR="0005028E" w:rsidRDefault="0005028E">
      <w:pPr>
        <w:jc w:val="center"/>
        <w:rPr>
          <w:rFonts w:ascii="宋体" w:hAnsi="宋体"/>
          <w:sz w:val="28"/>
          <w:szCs w:val="30"/>
        </w:rPr>
      </w:pPr>
    </w:p>
    <w:p w:rsidR="0005028E" w:rsidRDefault="0005028E">
      <w:pPr>
        <w:jc w:val="center"/>
        <w:rPr>
          <w:rFonts w:ascii="宋体" w:hAnsi="宋体"/>
          <w:sz w:val="28"/>
          <w:szCs w:val="30"/>
        </w:rPr>
      </w:pPr>
    </w:p>
    <w:p w:rsidR="0005028E" w:rsidRDefault="0005028E">
      <w:pPr>
        <w:jc w:val="center"/>
        <w:rPr>
          <w:rFonts w:ascii="宋体" w:hAnsi="宋体"/>
          <w:sz w:val="28"/>
          <w:szCs w:val="30"/>
        </w:rPr>
      </w:pPr>
    </w:p>
    <w:p w:rsidR="0005028E" w:rsidRDefault="0005028E">
      <w:pPr>
        <w:jc w:val="center"/>
        <w:rPr>
          <w:rFonts w:ascii="宋体" w:hAnsi="宋体"/>
          <w:sz w:val="28"/>
          <w:szCs w:val="30"/>
        </w:rPr>
      </w:pPr>
    </w:p>
    <w:p w:rsidR="0005028E" w:rsidRDefault="0005028E">
      <w:pPr>
        <w:jc w:val="center"/>
        <w:rPr>
          <w:rFonts w:ascii="宋体" w:hAnsi="宋体"/>
          <w:sz w:val="28"/>
          <w:szCs w:val="30"/>
        </w:rPr>
      </w:pPr>
    </w:p>
    <w:p w:rsidR="0005028E" w:rsidRDefault="0005028E">
      <w:pPr>
        <w:jc w:val="center"/>
        <w:rPr>
          <w:rFonts w:ascii="宋体" w:hAnsi="宋体"/>
          <w:sz w:val="28"/>
          <w:szCs w:val="30"/>
        </w:rPr>
      </w:pPr>
    </w:p>
    <w:p w:rsidR="0005028E" w:rsidRDefault="0005028E">
      <w:pPr>
        <w:jc w:val="center"/>
        <w:rPr>
          <w:rFonts w:ascii="宋体" w:hAnsi="宋体"/>
          <w:sz w:val="28"/>
          <w:szCs w:val="30"/>
        </w:rPr>
      </w:pPr>
    </w:p>
    <w:p w:rsidR="0005028E" w:rsidRDefault="0005028E">
      <w:pPr>
        <w:jc w:val="center"/>
        <w:rPr>
          <w:rFonts w:ascii="宋体" w:hAnsi="宋体"/>
          <w:sz w:val="28"/>
          <w:szCs w:val="30"/>
        </w:rPr>
      </w:pPr>
    </w:p>
    <w:p w:rsidR="0005028E" w:rsidRDefault="0005028E">
      <w:pPr>
        <w:jc w:val="center"/>
        <w:rPr>
          <w:rFonts w:ascii="宋体" w:hAnsi="宋体"/>
          <w:sz w:val="28"/>
          <w:szCs w:val="30"/>
        </w:rPr>
      </w:pPr>
    </w:p>
    <w:p w:rsidR="0005028E" w:rsidRDefault="0005028E">
      <w:pPr>
        <w:jc w:val="center"/>
        <w:rPr>
          <w:rFonts w:ascii="宋体" w:hAnsi="宋体"/>
          <w:sz w:val="28"/>
          <w:szCs w:val="30"/>
        </w:rPr>
      </w:pPr>
    </w:p>
    <w:p w:rsidR="0005028E" w:rsidRDefault="0005028E">
      <w:pPr>
        <w:jc w:val="center"/>
        <w:rPr>
          <w:rFonts w:ascii="宋体" w:hAnsi="宋体"/>
          <w:sz w:val="28"/>
          <w:szCs w:val="30"/>
        </w:rPr>
      </w:pPr>
    </w:p>
    <w:p w:rsidR="0005028E" w:rsidRDefault="00542B02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 w:rsidR="0005028E" w:rsidRDefault="00542B02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 w:rsidR="0005028E" w:rsidRDefault="0005028E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05028E" w:rsidRDefault="0005028E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05028E" w:rsidRDefault="0005028E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05028E" w:rsidRDefault="0005028E">
      <w:pPr>
        <w:rPr>
          <w:rFonts w:ascii="宋体" w:hAnsi="宋体"/>
          <w:sz w:val="28"/>
          <w:szCs w:val="30"/>
        </w:rPr>
      </w:pPr>
    </w:p>
    <w:p w:rsidR="0005028E" w:rsidRDefault="0005028E">
      <w:pPr>
        <w:jc w:val="center"/>
        <w:rPr>
          <w:rFonts w:ascii="宋体" w:hAnsi="宋体"/>
          <w:b/>
          <w:bCs/>
          <w:sz w:val="28"/>
          <w:szCs w:val="30"/>
        </w:rPr>
      </w:pPr>
    </w:p>
    <w:p w:rsidR="0005028E" w:rsidRDefault="00542B02"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 w:hint="eastAsia"/>
          <w:b/>
          <w:bCs/>
          <w:sz w:val="28"/>
          <w:szCs w:val="30"/>
        </w:rPr>
        <w:t>重要提示</w:t>
      </w:r>
    </w:p>
    <w:p w:rsidR="0005028E" w:rsidRDefault="00542B02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ascii="宋体" w:hAnsi="宋体" w:hint="eastAsia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 w:rsidR="0005028E" w:rsidRDefault="00542B02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产品管理人承诺以诚实信用、勤勉尽责的原则管理和运用理财资产，但不保证一定盈利。产品的过往业绩并不代表其未来表现。投资有风险，投资者在</w:t>
      </w:r>
      <w:proofErr w:type="gramStart"/>
      <w:r>
        <w:rPr>
          <w:rFonts w:ascii="宋体" w:hAnsi="宋体" w:hint="eastAsia"/>
          <w:szCs w:val="21"/>
        </w:rPr>
        <w:t>作出</w:t>
      </w:r>
      <w:proofErr w:type="gramEnd"/>
      <w:r>
        <w:rPr>
          <w:rFonts w:ascii="宋体" w:hAnsi="宋体" w:hint="eastAsia"/>
          <w:szCs w:val="21"/>
        </w:rPr>
        <w:t>投资决策前应仔细阅读本产品的发行文件。</w:t>
      </w:r>
    </w:p>
    <w:p w:rsidR="0005028E" w:rsidRDefault="00542B02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本报告中财务资料未经审计。</w:t>
      </w:r>
    </w:p>
    <w:p w:rsidR="0005028E" w:rsidRDefault="00542B02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ascii="宋体" w:hAnsi="宋体" w:hint="eastAsia"/>
          <w:szCs w:val="21"/>
        </w:rPr>
        <w:t>自2023-01-01起至2023-03-31</w:t>
      </w:r>
      <w:r>
        <w:rPr>
          <w:rFonts w:ascii="宋体" w:hAnsi="宋体"/>
          <w:szCs w:val="21"/>
        </w:rPr>
        <w:t>止。</w:t>
      </w:r>
    </w:p>
    <w:p w:rsidR="0005028E" w:rsidRDefault="00542B02">
      <w:pPr>
        <w:pStyle w:val="XBRLTitle1"/>
      </w:pPr>
      <w:r>
        <w:rPr>
          <w:rFonts w:hint="eastAsia"/>
        </w:rPr>
        <w:t>产品基本情况</w:t>
      </w:r>
      <w:r>
        <w:rPr>
          <w:rFonts w:hint="eastAsia"/>
        </w:rPr>
        <w:t xml:space="preserve"> 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05028E">
        <w:trPr>
          <w:trHeight w:val="304"/>
        </w:trPr>
        <w:tc>
          <w:tcPr>
            <w:tcW w:w="3838" w:type="dxa"/>
            <w:vAlign w:val="center"/>
          </w:tcPr>
          <w:p w:rsidR="0005028E" w:rsidRDefault="00542B02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 w:rsidR="0005028E" w:rsidRDefault="00542B02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信息</w:t>
            </w:r>
          </w:p>
        </w:tc>
      </w:tr>
      <w:tr w:rsidR="0005028E">
        <w:trPr>
          <w:trHeight w:val="304"/>
        </w:trPr>
        <w:tc>
          <w:tcPr>
            <w:tcW w:w="3838" w:type="dxa"/>
            <w:vAlign w:val="center"/>
          </w:tcPr>
          <w:p w:rsidR="0005028E" w:rsidRDefault="00542B02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 w:rsidR="0005028E" w:rsidRDefault="00542B02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四川银行定</w:t>
            </w:r>
            <w:proofErr w:type="gramStart"/>
            <w:r>
              <w:rPr>
                <w:rFonts w:ascii="宋体" w:hAnsi="宋体" w:hint="eastAsia"/>
              </w:rPr>
              <w:t>开系列</w:t>
            </w:r>
            <w:proofErr w:type="gramEnd"/>
            <w:r>
              <w:rPr>
                <w:rFonts w:ascii="宋体" w:hAnsi="宋体" w:hint="eastAsia"/>
              </w:rPr>
              <w:t>6个月1号净值型理财产品</w:t>
            </w:r>
          </w:p>
        </w:tc>
      </w:tr>
      <w:tr w:rsidR="0005028E">
        <w:trPr>
          <w:trHeight w:val="304"/>
        </w:trPr>
        <w:tc>
          <w:tcPr>
            <w:tcW w:w="3838" w:type="dxa"/>
            <w:vAlign w:val="center"/>
          </w:tcPr>
          <w:p w:rsidR="0005028E" w:rsidRDefault="00542B02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 w:rsidR="0005028E" w:rsidRDefault="00542B02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C1438121000170</w:t>
            </w:r>
          </w:p>
        </w:tc>
      </w:tr>
      <w:tr w:rsidR="0005028E">
        <w:trPr>
          <w:trHeight w:val="304"/>
        </w:trPr>
        <w:tc>
          <w:tcPr>
            <w:tcW w:w="3838" w:type="dxa"/>
            <w:vAlign w:val="center"/>
          </w:tcPr>
          <w:p w:rsidR="0005028E" w:rsidRDefault="00542B02">
            <w:pPr>
              <w:ind w:rightChars="-51" w:right="-107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 w:rsidR="0005028E" w:rsidRDefault="00542B02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四川银行股份有限公司</w:t>
            </w:r>
          </w:p>
        </w:tc>
      </w:tr>
      <w:tr w:rsidR="0005028E">
        <w:trPr>
          <w:trHeight w:val="304"/>
        </w:trPr>
        <w:tc>
          <w:tcPr>
            <w:tcW w:w="3838" w:type="dxa"/>
            <w:vAlign w:val="center"/>
          </w:tcPr>
          <w:p w:rsidR="0005028E" w:rsidRDefault="00542B02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 w:rsidR="0005028E" w:rsidRDefault="00542B02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 w:rsidR="0005028E">
        <w:trPr>
          <w:trHeight w:val="304"/>
        </w:trPr>
        <w:tc>
          <w:tcPr>
            <w:tcW w:w="3838" w:type="dxa"/>
            <w:vAlign w:val="center"/>
          </w:tcPr>
          <w:p w:rsidR="0005028E" w:rsidRDefault="00542B02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 w:rsidR="0005028E" w:rsidRDefault="00542B02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 w:rsidR="0005028E">
        <w:trPr>
          <w:trHeight w:val="304"/>
        </w:trPr>
        <w:tc>
          <w:tcPr>
            <w:tcW w:w="3838" w:type="dxa"/>
            <w:vAlign w:val="center"/>
          </w:tcPr>
          <w:p w:rsidR="0005028E" w:rsidRDefault="00542B02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 w:rsidR="0005028E" w:rsidRDefault="00542B02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2021-11-16</w:t>
            </w:r>
          </w:p>
        </w:tc>
      </w:tr>
      <w:tr w:rsidR="0005028E">
        <w:trPr>
          <w:trHeight w:val="304"/>
        </w:trPr>
        <w:tc>
          <w:tcPr>
            <w:tcW w:w="3838" w:type="dxa"/>
            <w:vAlign w:val="center"/>
          </w:tcPr>
          <w:p w:rsidR="0005028E" w:rsidRDefault="00542B02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 w:rsidR="0005028E" w:rsidRDefault="00542B02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9999-12-31</w:t>
            </w:r>
          </w:p>
        </w:tc>
      </w:tr>
      <w:tr w:rsidR="0005028E">
        <w:trPr>
          <w:trHeight w:val="321"/>
        </w:trPr>
        <w:tc>
          <w:tcPr>
            <w:tcW w:w="3838" w:type="dxa"/>
            <w:vAlign w:val="center"/>
          </w:tcPr>
          <w:p w:rsidR="0005028E" w:rsidRDefault="00542B0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 w:rsidR="0005028E" w:rsidRDefault="00542B02"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ascii="宋体" w:hAnsi="宋体" w:hint="eastAsia"/>
              </w:rPr>
              <w:t>118,392,860.00</w:t>
            </w:r>
            <w:bookmarkEnd w:id="0"/>
          </w:p>
        </w:tc>
      </w:tr>
      <w:tr w:rsidR="0005028E">
        <w:trPr>
          <w:trHeight w:val="304"/>
        </w:trPr>
        <w:tc>
          <w:tcPr>
            <w:tcW w:w="3838" w:type="dxa"/>
            <w:vAlign w:val="center"/>
          </w:tcPr>
          <w:p w:rsidR="0005028E" w:rsidRDefault="00542B0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 w:rsidR="0005028E" w:rsidRDefault="00542B02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[3.9%-4.1%]/年</w:t>
            </w:r>
          </w:p>
        </w:tc>
      </w:tr>
      <w:tr w:rsidR="0005028E">
        <w:trPr>
          <w:trHeight w:val="304"/>
        </w:trPr>
        <w:tc>
          <w:tcPr>
            <w:tcW w:w="3838" w:type="dxa"/>
            <w:vAlign w:val="center"/>
          </w:tcPr>
          <w:p w:rsidR="0005028E" w:rsidRDefault="00542B0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 w:rsidR="0005028E" w:rsidRDefault="00542B02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 w:rsidR="0005028E" w:rsidRDefault="00542B02">
      <w:pPr>
        <w:pStyle w:val="XBRLTitle1"/>
      </w:pPr>
      <w:r>
        <w:rPr>
          <w:rFonts w:hint="eastAsia"/>
        </w:rPr>
        <w:t>产品收益表现</w:t>
      </w:r>
    </w:p>
    <w:tbl>
      <w:tblPr>
        <w:tblW w:w="8956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3"/>
        <w:gridCol w:w="5103"/>
      </w:tblGrid>
      <w:tr w:rsidR="0005028E">
        <w:trPr>
          <w:trHeight w:val="766"/>
        </w:trPr>
        <w:tc>
          <w:tcPr>
            <w:tcW w:w="3853" w:type="dxa"/>
            <w:shd w:val="clear" w:color="auto" w:fill="D9D9D9"/>
            <w:vAlign w:val="center"/>
          </w:tcPr>
          <w:p w:rsidR="0005028E" w:rsidRDefault="00542B02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 w:rsidR="0005028E" w:rsidRDefault="00542B02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</w:t>
            </w:r>
            <w:r>
              <w:rPr>
                <w:rFonts w:hint="eastAsia"/>
                <w:b/>
              </w:rPr>
              <w:t>%</w:t>
            </w:r>
            <w:r>
              <w:rPr>
                <w:rFonts w:hint="eastAsia"/>
                <w:b/>
              </w:rPr>
              <w:t>）</w:t>
            </w:r>
          </w:p>
        </w:tc>
      </w:tr>
      <w:tr w:rsidR="0005028E">
        <w:trPr>
          <w:trHeight w:val="556"/>
        </w:trPr>
        <w:tc>
          <w:tcPr>
            <w:tcW w:w="3853" w:type="dxa"/>
            <w:vAlign w:val="center"/>
          </w:tcPr>
          <w:p w:rsidR="0005028E" w:rsidRDefault="00542B0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当期（</w:t>
            </w:r>
            <w:r>
              <w:rPr>
                <w:rFonts w:ascii="宋体" w:hAnsi="宋体"/>
              </w:rPr>
              <w:t>2023-01-01</w:t>
            </w:r>
            <w:r>
              <w:rPr>
                <w:rFonts w:ascii="宋体" w:hAnsi="宋体" w:hint="eastAsia"/>
              </w:rPr>
              <w:t>至</w:t>
            </w:r>
            <w:r>
              <w:rPr>
                <w:rFonts w:ascii="宋体" w:hAnsi="宋体"/>
              </w:rPr>
              <w:t>2023-03-31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5103" w:type="dxa"/>
            <w:vAlign w:val="center"/>
          </w:tcPr>
          <w:p w:rsidR="0005028E" w:rsidRDefault="00542B0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2.41</w:t>
            </w:r>
          </w:p>
        </w:tc>
      </w:tr>
      <w:tr w:rsidR="0005028E">
        <w:trPr>
          <w:trHeight w:val="556"/>
        </w:trPr>
        <w:tc>
          <w:tcPr>
            <w:tcW w:w="3853" w:type="dxa"/>
            <w:vAlign w:val="center"/>
          </w:tcPr>
          <w:p w:rsidR="0005028E" w:rsidRDefault="00542B0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自产品成立</w:t>
            </w:r>
            <w:proofErr w:type="gramStart"/>
            <w:r>
              <w:rPr>
                <w:rFonts w:ascii="宋体" w:hAnsi="宋体" w:hint="eastAsia"/>
              </w:rPr>
              <w:t>日至今</w:t>
            </w:r>
            <w:proofErr w:type="gramEnd"/>
          </w:p>
        </w:tc>
        <w:tc>
          <w:tcPr>
            <w:tcW w:w="5103" w:type="dxa"/>
            <w:vAlign w:val="center"/>
          </w:tcPr>
          <w:p w:rsidR="0005028E" w:rsidRDefault="00542B0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5.51</w:t>
            </w:r>
            <w:bookmarkStart w:id="1" w:name="OLE_LINK7"/>
            <w:bookmarkStart w:id="2" w:name="OLE_LINK4"/>
            <w:bookmarkEnd w:id="1"/>
            <w:bookmarkEnd w:id="2"/>
          </w:p>
        </w:tc>
      </w:tr>
    </w:tbl>
    <w:p w:rsidR="0005028E" w:rsidRDefault="00542B02">
      <w:pPr>
        <w:spacing w:line="360" w:lineRule="auto"/>
        <w:ind w:leftChars="200" w:left="42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 w:rsidR="0005028E" w:rsidRDefault="00542B02">
      <w:pPr>
        <w:pStyle w:val="XBRLTitle1"/>
      </w:pPr>
      <w:r>
        <w:rPr>
          <w:rFonts w:hint="eastAsia"/>
        </w:rPr>
        <w:t>主要财务指标</w:t>
      </w:r>
    </w:p>
    <w:p w:rsidR="0005028E" w:rsidRDefault="00542B02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886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05028E">
        <w:trPr>
          <w:trHeight w:val="708"/>
        </w:trPr>
        <w:tc>
          <w:tcPr>
            <w:tcW w:w="3838" w:type="dxa"/>
            <w:shd w:val="clear" w:color="auto" w:fill="D9D9D9"/>
            <w:vAlign w:val="center"/>
          </w:tcPr>
          <w:p w:rsidR="0005028E" w:rsidRDefault="00542B02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 w:rsidR="0005028E" w:rsidRDefault="00542B02">
            <w:pPr>
              <w:jc w:val="left"/>
              <w:rPr>
                <w:b/>
              </w:rPr>
            </w:pPr>
            <w:r>
              <w:rPr>
                <w:b/>
              </w:rPr>
              <w:t>2023-01-01</w:t>
            </w:r>
            <w:r>
              <w:rPr>
                <w:rFonts w:hint="eastAsia"/>
                <w:b/>
              </w:rPr>
              <w:t>至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2023-03-31</w:t>
            </w:r>
          </w:p>
        </w:tc>
      </w:tr>
      <w:tr w:rsidR="0005028E">
        <w:trPr>
          <w:trHeight w:val="304"/>
        </w:trPr>
        <w:tc>
          <w:tcPr>
            <w:tcW w:w="3838" w:type="dxa"/>
            <w:vAlign w:val="center"/>
          </w:tcPr>
          <w:p w:rsidR="0005028E" w:rsidRDefault="00542B02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 w:rsidR="0005028E" w:rsidRDefault="00542B0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1,156,891.65</w:t>
            </w:r>
          </w:p>
        </w:tc>
      </w:tr>
      <w:tr w:rsidR="0005028E">
        <w:trPr>
          <w:trHeight w:val="304"/>
        </w:trPr>
        <w:tc>
          <w:tcPr>
            <w:tcW w:w="3838" w:type="dxa"/>
            <w:vAlign w:val="center"/>
          </w:tcPr>
          <w:p w:rsidR="0005028E" w:rsidRDefault="00542B02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 w:rsidR="0005028E" w:rsidRDefault="00542B0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2,935,922.03</w:t>
            </w:r>
          </w:p>
        </w:tc>
      </w:tr>
      <w:tr w:rsidR="0005028E">
        <w:trPr>
          <w:trHeight w:val="304"/>
        </w:trPr>
        <w:tc>
          <w:tcPr>
            <w:tcW w:w="3838" w:type="dxa"/>
            <w:vAlign w:val="center"/>
          </w:tcPr>
          <w:p w:rsidR="0005028E" w:rsidRDefault="00542B02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 w:rsidR="0005028E" w:rsidRDefault="00542B0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120,165,866.72</w:t>
            </w:r>
          </w:p>
        </w:tc>
      </w:tr>
      <w:tr w:rsidR="0005028E">
        <w:trPr>
          <w:trHeight w:val="304"/>
        </w:trPr>
        <w:tc>
          <w:tcPr>
            <w:tcW w:w="3838" w:type="dxa"/>
            <w:vAlign w:val="center"/>
          </w:tcPr>
          <w:p w:rsidR="0005028E" w:rsidRDefault="00542B02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 w:rsidR="0005028E" w:rsidRDefault="00542B0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1.015</w:t>
            </w:r>
          </w:p>
        </w:tc>
      </w:tr>
    </w:tbl>
    <w:p w:rsidR="0005028E" w:rsidRDefault="00542B02">
      <w:pPr>
        <w:tabs>
          <w:tab w:val="left" w:pos="3135"/>
        </w:tabs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05028E" w:rsidRDefault="00542B02">
      <w:pPr>
        <w:pStyle w:val="XBRLTitle1"/>
      </w:pPr>
      <w:r>
        <w:rPr>
          <w:rFonts w:hint="eastAsia"/>
        </w:rPr>
        <w:t>投资组合情况及</w:t>
      </w:r>
      <w:r>
        <w:t>流动性风险分析</w:t>
      </w:r>
    </w:p>
    <w:p w:rsidR="0005028E" w:rsidRDefault="0005028E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05028E" w:rsidRDefault="0005028E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05028E" w:rsidRDefault="0005028E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05028E" w:rsidRDefault="0005028E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05028E" w:rsidRDefault="00542B02">
      <w:pPr>
        <w:pStyle w:val="XBRLTitle2"/>
        <w:spacing w:before="156" w:after="156"/>
      </w:pPr>
      <w:r>
        <w:rPr>
          <w:rFonts w:hint="eastAsia"/>
          <w:b w:val="0"/>
        </w:rPr>
        <w:t>期末资产组合情况</w:t>
      </w:r>
    </w:p>
    <w:p w:rsidR="0005028E" w:rsidRDefault="0005028E">
      <w:pPr>
        <w:rPr>
          <w:lang w:val="zh-CN"/>
        </w:rPr>
      </w:pPr>
    </w:p>
    <w:p w:rsidR="0005028E" w:rsidRDefault="0005028E">
      <w:pPr>
        <w:jc w:val="right"/>
      </w:pPr>
    </w:p>
    <w:p w:rsidR="0005028E" w:rsidRDefault="0005028E">
      <w:pPr>
        <w:jc w:val="right"/>
      </w:pPr>
    </w:p>
    <w:p w:rsidR="0005028E" w:rsidRDefault="00542B02">
      <w:pPr>
        <w:jc w:val="right"/>
      </w:pPr>
      <w:r>
        <w:rPr>
          <w:rFonts w:hint="eastAsia"/>
        </w:rPr>
        <w:t>金额单位：元</w:t>
      </w:r>
    </w:p>
    <w:tbl>
      <w:tblPr>
        <w:tblW w:w="8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1447"/>
        <w:gridCol w:w="1697"/>
        <w:gridCol w:w="1749"/>
        <w:gridCol w:w="1653"/>
        <w:gridCol w:w="1705"/>
      </w:tblGrid>
      <w:tr w:rsidR="0005028E">
        <w:trPr>
          <w:trHeight w:val="692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 w:rsidR="0005028E" w:rsidRDefault="00542B0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 w:rsidR="0005028E" w:rsidRDefault="00542B0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 w:rsidR="0005028E" w:rsidRDefault="00542B0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 w:rsidR="0005028E" w:rsidRDefault="00542B0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 w:rsidR="0005028E">
        <w:trPr>
          <w:trHeight w:val="692"/>
          <w:jc w:val="center"/>
        </w:trPr>
        <w:tc>
          <w:tcPr>
            <w:tcW w:w="611" w:type="dxa"/>
            <w:vMerge/>
            <w:shd w:val="clear" w:color="auto" w:fill="D9D9D9"/>
            <w:vAlign w:val="center"/>
          </w:tcPr>
          <w:p w:rsidR="0005028E" w:rsidRDefault="0005028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/>
            <w:shd w:val="clear" w:color="auto" w:fill="D9D9D9"/>
            <w:vAlign w:val="center"/>
          </w:tcPr>
          <w:p w:rsidR="0005028E" w:rsidRDefault="0005028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 w:rsidR="0005028E" w:rsidRDefault="00542B0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 w:rsidR="0005028E" w:rsidRDefault="00542B0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占产品总资产的比例（%）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 w:rsidR="0005028E" w:rsidRDefault="00542B0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 w:rsidR="0005028E" w:rsidRDefault="00542B0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占产品总资产的比例（%）</w:t>
            </w:r>
          </w:p>
        </w:tc>
      </w:tr>
      <w:tr w:rsidR="0005028E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28E" w:rsidRDefault="00542B0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28E" w:rsidRDefault="00542B02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05028E" w:rsidRDefault="00542B0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05028E" w:rsidRDefault="00542B0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05028E" w:rsidRDefault="00542B0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05028E" w:rsidRDefault="00542B0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05028E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028E" w:rsidRDefault="00542B0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28E" w:rsidRDefault="00542B02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05028E" w:rsidRDefault="00542B0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05028E" w:rsidRDefault="00542B0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05028E" w:rsidRDefault="00542B0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05028E" w:rsidRDefault="00542B0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05028E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28E" w:rsidRDefault="00542B0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28E" w:rsidRDefault="00542B02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05028E" w:rsidRDefault="0005028E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05028E" w:rsidRDefault="0005028E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05028E" w:rsidRDefault="0005028E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05028E" w:rsidRDefault="0005028E">
            <w:pPr>
              <w:jc w:val="right"/>
              <w:rPr>
                <w:rFonts w:ascii="宋体" w:hAnsi="宋体"/>
              </w:rPr>
            </w:pPr>
          </w:p>
        </w:tc>
      </w:tr>
      <w:tr w:rsidR="0005028E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28E" w:rsidRDefault="00542B0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28E" w:rsidRDefault="00542B02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05028E" w:rsidRDefault="00542B0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05028E" w:rsidRDefault="00542B0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05028E" w:rsidRDefault="00542B0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05028E" w:rsidRDefault="00542B0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05028E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28E" w:rsidRDefault="00542B0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28E" w:rsidRDefault="00542B02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05028E" w:rsidRDefault="00542B0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100,017,326.94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05028E" w:rsidRDefault="00542B0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83.09</w:t>
            </w:r>
          </w:p>
        </w:tc>
        <w:tc>
          <w:tcPr>
            <w:tcW w:w="1653" w:type="dxa"/>
            <w:vAlign w:val="center"/>
          </w:tcPr>
          <w:p w:rsidR="0005028E" w:rsidRDefault="00542B0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05028E" w:rsidRDefault="00542B0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05028E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028E" w:rsidRDefault="00542B0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028E" w:rsidRDefault="00542B02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05028E" w:rsidRDefault="00542B0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100,017,326.94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05028E" w:rsidRDefault="00542B0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83.09</w:t>
            </w:r>
          </w:p>
        </w:tc>
        <w:tc>
          <w:tcPr>
            <w:tcW w:w="1653" w:type="dxa"/>
            <w:vAlign w:val="center"/>
          </w:tcPr>
          <w:p w:rsidR="0005028E" w:rsidRDefault="00542B0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05028E" w:rsidRDefault="00542B0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05028E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28E" w:rsidRDefault="00542B0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28E" w:rsidRDefault="00542B02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05028E" w:rsidRDefault="00542B0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05028E" w:rsidRDefault="00542B0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05028E" w:rsidRDefault="00542B0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05028E" w:rsidRDefault="00542B0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05028E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28E" w:rsidRDefault="00542B0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28E" w:rsidRDefault="00542B02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金融衍生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品投资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:rsidR="0005028E" w:rsidRDefault="00542B0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05028E" w:rsidRDefault="00542B0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05028E" w:rsidRDefault="00542B0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05028E" w:rsidRDefault="00542B0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05028E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28E" w:rsidRDefault="00542B0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28E" w:rsidRDefault="00542B02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05028E" w:rsidRDefault="0005028E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05028E" w:rsidRDefault="0005028E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05028E" w:rsidRDefault="0005028E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05028E" w:rsidRDefault="0005028E">
            <w:pPr>
              <w:jc w:val="right"/>
              <w:rPr>
                <w:rFonts w:ascii="宋体" w:hAnsi="宋体"/>
              </w:rPr>
            </w:pPr>
          </w:p>
        </w:tc>
      </w:tr>
      <w:tr w:rsidR="0005028E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28E" w:rsidRDefault="00542B0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28E" w:rsidRDefault="00542B02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05028E" w:rsidRDefault="0005028E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05028E" w:rsidRDefault="0005028E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05028E" w:rsidRDefault="0005028E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05028E" w:rsidRDefault="0005028E">
            <w:pPr>
              <w:jc w:val="right"/>
              <w:rPr>
                <w:rFonts w:ascii="宋体" w:hAnsi="宋体"/>
              </w:rPr>
            </w:pPr>
          </w:p>
        </w:tc>
      </w:tr>
      <w:tr w:rsidR="0005028E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28E" w:rsidRDefault="00542B0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28E" w:rsidRDefault="00542B02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05028E" w:rsidRDefault="00542B0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05028E" w:rsidRDefault="00542B0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05028E" w:rsidRDefault="00542B0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05028E" w:rsidRDefault="00542B0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05028E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28E" w:rsidRDefault="00542B0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28E" w:rsidRDefault="00542B02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05028E" w:rsidRDefault="0005028E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05028E" w:rsidRDefault="0005028E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05028E" w:rsidRDefault="0005028E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05028E" w:rsidRDefault="0005028E">
            <w:pPr>
              <w:jc w:val="right"/>
              <w:rPr>
                <w:rFonts w:ascii="宋体" w:hAnsi="宋体"/>
              </w:rPr>
            </w:pPr>
          </w:p>
        </w:tc>
      </w:tr>
      <w:tr w:rsidR="0005028E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28E" w:rsidRDefault="00542B0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28E" w:rsidRDefault="00542B02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05028E" w:rsidRDefault="00542B0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05028E" w:rsidRDefault="00542B0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05028E" w:rsidRDefault="00542B0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05028E" w:rsidRDefault="00542B0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05028E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28E" w:rsidRDefault="00542B0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28E" w:rsidRDefault="00542B02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05028E" w:rsidRDefault="00542B0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05028E" w:rsidRDefault="00542B0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05028E" w:rsidRDefault="00542B0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05028E" w:rsidRDefault="00542B0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05028E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28E" w:rsidRDefault="00542B0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28E" w:rsidRDefault="00542B02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05028E" w:rsidRDefault="0005028E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05028E" w:rsidRDefault="0005028E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05028E" w:rsidRDefault="0005028E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05028E" w:rsidRDefault="0005028E">
            <w:pPr>
              <w:jc w:val="right"/>
              <w:rPr>
                <w:rFonts w:ascii="宋体" w:hAnsi="宋体"/>
              </w:rPr>
            </w:pPr>
          </w:p>
        </w:tc>
      </w:tr>
      <w:tr w:rsidR="0005028E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28E" w:rsidRDefault="00542B0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28E" w:rsidRDefault="00542B02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银行存款和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05028E" w:rsidRDefault="00542B0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201,861.18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05028E" w:rsidRDefault="00542B0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0.17</w:t>
            </w:r>
          </w:p>
        </w:tc>
        <w:tc>
          <w:tcPr>
            <w:tcW w:w="1653" w:type="dxa"/>
            <w:vAlign w:val="center"/>
          </w:tcPr>
          <w:p w:rsidR="0005028E" w:rsidRDefault="00542B0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05028E" w:rsidRDefault="00542B0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05028E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28E" w:rsidRDefault="00542B0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28E" w:rsidRDefault="00542B02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05028E" w:rsidRDefault="00542B0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05028E" w:rsidRDefault="00542B0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05028E" w:rsidRDefault="00542B0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05028E" w:rsidRDefault="00542B0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05028E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28E" w:rsidRDefault="00542B0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28E" w:rsidRDefault="00542B02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:rsidR="0005028E" w:rsidRDefault="00542B0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05028E" w:rsidRDefault="00542B0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05028E" w:rsidRDefault="00542B0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05028E" w:rsidRDefault="00542B0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05028E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28E" w:rsidRDefault="00542B0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28E" w:rsidRDefault="00542B02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05028E" w:rsidRDefault="00542B0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20,147,955.45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05028E" w:rsidRDefault="00542B0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16.74</w:t>
            </w:r>
          </w:p>
        </w:tc>
        <w:tc>
          <w:tcPr>
            <w:tcW w:w="1653" w:type="dxa"/>
            <w:vAlign w:val="center"/>
          </w:tcPr>
          <w:p w:rsidR="0005028E" w:rsidRDefault="00542B0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05028E" w:rsidRDefault="00542B0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05028E">
        <w:trPr>
          <w:jc w:val="center"/>
        </w:trPr>
        <w:tc>
          <w:tcPr>
            <w:tcW w:w="611" w:type="dxa"/>
            <w:shd w:val="clear" w:color="auto" w:fill="auto"/>
          </w:tcPr>
          <w:p w:rsidR="0005028E" w:rsidRDefault="0005028E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 w:rsidR="0005028E" w:rsidRDefault="00542B02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 w:rsidR="0005028E" w:rsidRDefault="00542B0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120,367,143.57</w:t>
            </w:r>
          </w:p>
        </w:tc>
        <w:tc>
          <w:tcPr>
            <w:tcW w:w="1749" w:type="dxa"/>
            <w:shd w:val="clear" w:color="auto" w:fill="auto"/>
          </w:tcPr>
          <w:p w:rsidR="0005028E" w:rsidRDefault="00542B0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100.00</w:t>
            </w:r>
          </w:p>
        </w:tc>
        <w:tc>
          <w:tcPr>
            <w:tcW w:w="1653" w:type="dxa"/>
          </w:tcPr>
          <w:p w:rsidR="0005028E" w:rsidRDefault="00542B0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</w:tcPr>
          <w:p w:rsidR="0005028E" w:rsidRDefault="00542B0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</w:tbl>
    <w:p w:rsidR="0005028E" w:rsidRDefault="0005028E">
      <w:pPr>
        <w:ind w:leftChars="200" w:left="420"/>
        <w:jc w:val="left"/>
        <w:rPr>
          <w:rFonts w:ascii="宋体" w:hAnsi="宋体"/>
          <w:sz w:val="24"/>
        </w:rPr>
      </w:pPr>
    </w:p>
    <w:p w:rsidR="0005028E" w:rsidRDefault="0005028E">
      <w:pPr>
        <w:ind w:leftChars="200" w:left="420"/>
        <w:jc w:val="left"/>
        <w:rPr>
          <w:rFonts w:asciiTheme="minorEastAsia" w:eastAsiaTheme="minorEastAsia" w:hAnsiTheme="minorEastAsia"/>
          <w:sz w:val="24"/>
        </w:rPr>
      </w:pPr>
    </w:p>
    <w:p w:rsidR="0005028E" w:rsidRDefault="00542B02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</w:rPr>
        <w:t>性</w:t>
      </w:r>
      <w:r>
        <w:rPr>
          <w:b w:val="0"/>
        </w:rPr>
        <w:t>风险分析</w:t>
      </w:r>
    </w:p>
    <w:p w:rsidR="0005028E" w:rsidRDefault="00542B02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 w:rsidR="0005028E" w:rsidRDefault="0005028E">
      <w:pPr>
        <w:widowControl/>
        <w:jc w:val="left"/>
        <w:rPr>
          <w:rFonts w:ascii="宋体" w:hAnsi="宋体"/>
          <w:sz w:val="24"/>
        </w:rPr>
      </w:pPr>
    </w:p>
    <w:p w:rsidR="0005028E" w:rsidRDefault="00542B02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 w:rsidR="0005028E" w:rsidRDefault="00542B02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3159"/>
        <w:gridCol w:w="2693"/>
        <w:gridCol w:w="2431"/>
      </w:tblGrid>
      <w:tr w:rsidR="0005028E">
        <w:trPr>
          <w:trHeight w:val="744"/>
        </w:trPr>
        <w:tc>
          <w:tcPr>
            <w:tcW w:w="777" w:type="dxa"/>
            <w:shd w:val="clear" w:color="auto" w:fill="D9D9D9"/>
            <w:vAlign w:val="center"/>
          </w:tcPr>
          <w:p w:rsidR="0005028E" w:rsidRDefault="00542B0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 w:rsidR="0005028E" w:rsidRDefault="00542B02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05028E" w:rsidRDefault="00542B02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 w:rsidR="0005028E" w:rsidRDefault="00542B02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占产品资产净值比例（%）</w:t>
            </w:r>
          </w:p>
        </w:tc>
      </w:tr>
      <w:tr w:rsidR="0005028E">
        <w:tc>
          <w:tcPr>
            <w:tcW w:w="777" w:type="dxa"/>
            <w:shd w:val="clear" w:color="auto" w:fill="auto"/>
            <w:vAlign w:val="center"/>
          </w:tcPr>
          <w:p w:rsidR="0005028E" w:rsidRDefault="00542B0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05028E" w:rsidRDefault="00542B0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四川银行四川锦</w:t>
            </w:r>
            <w:proofErr w:type="gramStart"/>
            <w:r>
              <w:rPr>
                <w:rFonts w:ascii="宋体" w:hAnsi="宋体"/>
                <w:szCs w:val="21"/>
              </w:rPr>
              <w:t>程消费</w:t>
            </w:r>
            <w:proofErr w:type="gramEnd"/>
            <w:r>
              <w:rPr>
                <w:rFonts w:ascii="宋体" w:hAnsi="宋体"/>
                <w:szCs w:val="21"/>
              </w:rPr>
              <w:t>金融同业借款20221209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5028E" w:rsidRDefault="00542B0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20,140,584.78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05028E" w:rsidRDefault="00542B0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16.76</w:t>
            </w:r>
          </w:p>
        </w:tc>
      </w:tr>
      <w:tr w:rsidR="0005028E">
        <w:tc>
          <w:tcPr>
            <w:tcW w:w="777" w:type="dxa"/>
            <w:shd w:val="clear" w:color="auto" w:fill="auto"/>
            <w:vAlign w:val="center"/>
          </w:tcPr>
          <w:p w:rsidR="0005028E" w:rsidRDefault="00542B0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05028E" w:rsidRDefault="00542B0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21广元01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5028E" w:rsidRDefault="00542B0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11,792,693.15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05028E" w:rsidRDefault="00542B0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9.81</w:t>
            </w:r>
          </w:p>
        </w:tc>
      </w:tr>
      <w:tr w:rsidR="0005028E">
        <w:tc>
          <w:tcPr>
            <w:tcW w:w="777" w:type="dxa"/>
            <w:shd w:val="clear" w:color="auto" w:fill="auto"/>
            <w:vAlign w:val="center"/>
          </w:tcPr>
          <w:p w:rsidR="0005028E" w:rsidRDefault="00542B0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05028E" w:rsidRDefault="00542B0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proofErr w:type="gramStart"/>
            <w:r>
              <w:rPr>
                <w:rFonts w:ascii="宋体" w:hAnsi="宋体"/>
                <w:szCs w:val="21"/>
              </w:rPr>
              <w:t>眉控</w:t>
            </w:r>
            <w:proofErr w:type="gramEnd"/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5028E" w:rsidRDefault="00542B0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10,996,790.41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05028E" w:rsidRDefault="00542B0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9.15</w:t>
            </w:r>
          </w:p>
        </w:tc>
      </w:tr>
      <w:tr w:rsidR="0005028E">
        <w:tc>
          <w:tcPr>
            <w:tcW w:w="777" w:type="dxa"/>
            <w:shd w:val="clear" w:color="auto" w:fill="auto"/>
            <w:vAlign w:val="center"/>
          </w:tcPr>
          <w:p w:rsidR="0005028E" w:rsidRDefault="00542B0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05028E" w:rsidRDefault="00542B0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22翠屏01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5028E" w:rsidRDefault="00542B0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10,232,739.73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05028E" w:rsidRDefault="00542B0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8.52</w:t>
            </w:r>
          </w:p>
        </w:tc>
      </w:tr>
      <w:tr w:rsidR="0005028E">
        <w:tc>
          <w:tcPr>
            <w:tcW w:w="777" w:type="dxa"/>
            <w:shd w:val="clear" w:color="auto" w:fill="auto"/>
            <w:vAlign w:val="center"/>
          </w:tcPr>
          <w:p w:rsidR="0005028E" w:rsidRDefault="00542B0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05028E" w:rsidRDefault="00542B0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proofErr w:type="gramStart"/>
            <w:r>
              <w:rPr>
                <w:rFonts w:ascii="宋体" w:hAnsi="宋体"/>
                <w:szCs w:val="21"/>
              </w:rPr>
              <w:t>湔</w:t>
            </w:r>
            <w:proofErr w:type="gramEnd"/>
            <w:r>
              <w:rPr>
                <w:rFonts w:ascii="宋体" w:hAnsi="宋体"/>
                <w:szCs w:val="21"/>
              </w:rPr>
              <w:t>江01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5028E" w:rsidRDefault="00542B0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10,000,547.95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05028E" w:rsidRDefault="00542B0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8.32</w:t>
            </w:r>
          </w:p>
        </w:tc>
      </w:tr>
      <w:tr w:rsidR="0005028E">
        <w:tc>
          <w:tcPr>
            <w:tcW w:w="777" w:type="dxa"/>
            <w:shd w:val="clear" w:color="auto" w:fill="auto"/>
            <w:vAlign w:val="center"/>
          </w:tcPr>
          <w:p w:rsidR="0005028E" w:rsidRDefault="00542B0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05028E" w:rsidRDefault="00542B0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21天投Y2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5028E" w:rsidRDefault="00542B0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9,487,615.07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05028E" w:rsidRDefault="00542B0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7.90</w:t>
            </w:r>
          </w:p>
        </w:tc>
      </w:tr>
      <w:tr w:rsidR="0005028E">
        <w:tc>
          <w:tcPr>
            <w:tcW w:w="777" w:type="dxa"/>
            <w:shd w:val="clear" w:color="auto" w:fill="auto"/>
            <w:vAlign w:val="center"/>
          </w:tcPr>
          <w:p w:rsidR="0005028E" w:rsidRDefault="00542B0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05028E" w:rsidRDefault="00542B0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22临港债02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5028E" w:rsidRDefault="00542B0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8,275,857.53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05028E" w:rsidRDefault="00542B0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6.89</w:t>
            </w:r>
          </w:p>
        </w:tc>
      </w:tr>
      <w:tr w:rsidR="0005028E">
        <w:tc>
          <w:tcPr>
            <w:tcW w:w="777" w:type="dxa"/>
            <w:shd w:val="clear" w:color="auto" w:fill="auto"/>
            <w:vAlign w:val="center"/>
          </w:tcPr>
          <w:p w:rsidR="0005028E" w:rsidRDefault="00542B0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05028E" w:rsidRDefault="00542B0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22凉山发展MTN001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5028E" w:rsidRDefault="00542B0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7,512,467.12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05028E" w:rsidRDefault="00542B0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6.25</w:t>
            </w:r>
          </w:p>
        </w:tc>
      </w:tr>
      <w:tr w:rsidR="0005028E">
        <w:tc>
          <w:tcPr>
            <w:tcW w:w="777" w:type="dxa"/>
            <w:shd w:val="clear" w:color="auto" w:fill="auto"/>
            <w:vAlign w:val="center"/>
          </w:tcPr>
          <w:p w:rsidR="0005028E" w:rsidRDefault="00542B0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05028E" w:rsidRDefault="00542B0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20崇兴01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5028E" w:rsidRDefault="00542B0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6,055,052.06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05028E" w:rsidRDefault="00542B0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5.04</w:t>
            </w:r>
          </w:p>
        </w:tc>
      </w:tr>
      <w:tr w:rsidR="0005028E">
        <w:tc>
          <w:tcPr>
            <w:tcW w:w="777" w:type="dxa"/>
            <w:shd w:val="clear" w:color="auto" w:fill="auto"/>
            <w:vAlign w:val="center"/>
          </w:tcPr>
          <w:p w:rsidR="0005028E" w:rsidRDefault="00542B0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05028E" w:rsidRDefault="00542B0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23桂林银行CD019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5028E" w:rsidRDefault="00542B0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4,922,680.62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05028E" w:rsidRDefault="00542B02">
            <w:pPr>
              <w:jc w:val="right"/>
              <w:rPr>
                <w:rFonts w:ascii="宋体" w:hAnsi="宋体"/>
              </w:rPr>
            </w:pPr>
            <w:bookmarkStart w:id="3" w:name="OLE_LINK5"/>
            <w:bookmarkStart w:id="4" w:name="OLE_LINK6"/>
            <w:r>
              <w:rPr>
                <w:rFonts w:ascii="宋体" w:hAnsi="宋体"/>
              </w:rPr>
              <w:t>4.10</w:t>
            </w:r>
            <w:bookmarkEnd w:id="3"/>
            <w:bookmarkEnd w:id="4"/>
          </w:p>
        </w:tc>
      </w:tr>
    </w:tbl>
    <w:p w:rsidR="0005028E" w:rsidRDefault="00542B02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05028E" w:rsidRDefault="00542B02">
      <w:pPr>
        <w:ind w:leftChars="202" w:left="424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注：前十项资产</w:t>
      </w:r>
      <w:proofErr w:type="gramStart"/>
      <w:r>
        <w:rPr>
          <w:rFonts w:asciiTheme="minorEastAsia" w:eastAsiaTheme="minorEastAsia" w:hAnsiTheme="minorEastAsia" w:hint="eastAsia"/>
          <w:szCs w:val="21"/>
        </w:rPr>
        <w:t>明细仅</w:t>
      </w:r>
      <w:proofErr w:type="gramEnd"/>
      <w:r>
        <w:rPr>
          <w:rFonts w:asciiTheme="minorEastAsia" w:eastAsiaTheme="minorEastAsia" w:hAnsiTheme="minorEastAsia" w:hint="eastAsia"/>
          <w:szCs w:val="21"/>
        </w:rPr>
        <w:t>包含证券投资、场外投资，不包含银行存款、存出保证金、清算备付金等资产。</w:t>
      </w:r>
    </w:p>
    <w:p w:rsidR="0005028E" w:rsidRDefault="00542B02">
      <w:pPr>
        <w:pStyle w:val="XBRLTitle1"/>
      </w:pPr>
      <w:r>
        <w:t>托管人报告</w:t>
      </w:r>
    </w:p>
    <w:p w:rsidR="0005028E" w:rsidRDefault="00542B02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 w:rsidR="00F0319F" w:rsidRDefault="00F0319F" w:rsidP="00F0319F">
      <w:pPr>
        <w:pStyle w:val="XBRLTitle1"/>
      </w:pPr>
      <w:r>
        <w:rPr>
          <w:rFonts w:hint="eastAsia"/>
        </w:rPr>
        <w:lastRenderedPageBreak/>
        <w:t>关联交易情况说明</w:t>
      </w:r>
    </w:p>
    <w:p w:rsidR="00F0319F" w:rsidRDefault="00F0319F" w:rsidP="00F0319F">
      <w:pPr>
        <w:pStyle w:val="XBRLTitle1"/>
        <w:numPr>
          <w:ilvl w:val="0"/>
          <w:numId w:val="0"/>
        </w:numPr>
        <w:spacing w:beforeLines="0" w:before="120" w:afterLines="0" w:after="120"/>
        <w:ind w:leftChars="100" w:left="210"/>
      </w:pP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本报告期末，本产品投资的21攀国投、</w:t>
      </w:r>
      <w:r w:rsidR="00D6666E" w:rsidRPr="00D6666E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21</w:t>
      </w:r>
      <w:proofErr w:type="gramStart"/>
      <w:r w:rsidR="00D6666E" w:rsidRPr="00D6666E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眉府01</w:t>
      </w:r>
      <w:r w:rsidR="00D6666E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、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22</w:t>
      </w:r>
      <w:proofErr w:type="gramEnd"/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凉山发展MTN001属于关联交易。</w:t>
      </w:r>
    </w:p>
    <w:p w:rsidR="00F0319F" w:rsidRPr="00F0319F" w:rsidRDefault="00F0319F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</w:p>
    <w:p w:rsidR="00F92762" w:rsidRDefault="00F92762" w:rsidP="00F92762">
      <w:pPr>
        <w:pStyle w:val="XBRLTitle1"/>
      </w:pPr>
      <w:r>
        <w:rPr>
          <w:rFonts w:hint="eastAsia"/>
        </w:rPr>
        <w:t>其他</w:t>
      </w:r>
    </w:p>
    <w:p w:rsidR="00BE3092" w:rsidRPr="002750E3" w:rsidRDefault="00BE3092" w:rsidP="002750E3">
      <w:r w:rsidRPr="002750E3">
        <w:rPr>
          <w:rFonts w:hint="eastAsia"/>
        </w:rPr>
        <w:t>非标投资情况：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78"/>
        <w:gridCol w:w="1450"/>
        <w:gridCol w:w="1267"/>
        <w:gridCol w:w="1705"/>
        <w:gridCol w:w="1468"/>
        <w:gridCol w:w="1192"/>
      </w:tblGrid>
      <w:tr w:rsidR="00BE3092" w:rsidTr="00887699">
        <w:tc>
          <w:tcPr>
            <w:tcW w:w="1092" w:type="pct"/>
            <w:shd w:val="clear" w:color="auto" w:fill="auto"/>
          </w:tcPr>
          <w:p w:rsidR="00BE3092" w:rsidRDefault="00BE3092" w:rsidP="00887699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800" w:type="pct"/>
            <w:shd w:val="clear" w:color="auto" w:fill="auto"/>
          </w:tcPr>
          <w:p w:rsidR="00BE3092" w:rsidRDefault="00BE3092" w:rsidP="00887699">
            <w:pPr>
              <w:jc w:val="center"/>
            </w:pPr>
            <w:r>
              <w:rPr>
                <w:rFonts w:hint="eastAsia"/>
              </w:rPr>
              <w:t>融资客户</w:t>
            </w:r>
          </w:p>
        </w:tc>
        <w:tc>
          <w:tcPr>
            <w:tcW w:w="699" w:type="pct"/>
            <w:shd w:val="clear" w:color="auto" w:fill="auto"/>
          </w:tcPr>
          <w:p w:rsidR="00BE3092" w:rsidRDefault="00BE3092" w:rsidP="00887699">
            <w:pPr>
              <w:jc w:val="center"/>
            </w:pPr>
            <w:r>
              <w:rPr>
                <w:rFonts w:hint="eastAsia"/>
              </w:rPr>
              <w:t>剩余融资期限</w:t>
            </w:r>
          </w:p>
        </w:tc>
        <w:tc>
          <w:tcPr>
            <w:tcW w:w="941" w:type="pct"/>
            <w:shd w:val="clear" w:color="auto" w:fill="auto"/>
          </w:tcPr>
          <w:p w:rsidR="00BE3092" w:rsidRDefault="00BE3092" w:rsidP="00887699">
            <w:pPr>
              <w:jc w:val="center"/>
            </w:pPr>
            <w:r>
              <w:rPr>
                <w:rFonts w:hint="eastAsia"/>
              </w:rPr>
              <w:t>到期收益分配</w:t>
            </w:r>
          </w:p>
        </w:tc>
        <w:tc>
          <w:tcPr>
            <w:tcW w:w="810" w:type="pct"/>
            <w:shd w:val="clear" w:color="auto" w:fill="auto"/>
          </w:tcPr>
          <w:p w:rsidR="00BE3092" w:rsidRDefault="00BE3092" w:rsidP="00887699">
            <w:pPr>
              <w:jc w:val="center"/>
            </w:pPr>
            <w:r>
              <w:rPr>
                <w:rFonts w:hint="eastAsia"/>
              </w:rPr>
              <w:t>交易结构</w:t>
            </w:r>
          </w:p>
        </w:tc>
        <w:tc>
          <w:tcPr>
            <w:tcW w:w="659" w:type="pct"/>
            <w:shd w:val="clear" w:color="auto" w:fill="auto"/>
          </w:tcPr>
          <w:p w:rsidR="00BE3092" w:rsidRDefault="00BE3092" w:rsidP="00887699">
            <w:pPr>
              <w:jc w:val="center"/>
            </w:pPr>
            <w:r>
              <w:rPr>
                <w:rFonts w:hint="eastAsia"/>
              </w:rPr>
              <w:t>风险状况</w:t>
            </w:r>
          </w:p>
        </w:tc>
      </w:tr>
      <w:tr w:rsidR="00BE3092" w:rsidTr="00887699">
        <w:tc>
          <w:tcPr>
            <w:tcW w:w="1092" w:type="pct"/>
            <w:shd w:val="clear" w:color="auto" w:fill="auto"/>
          </w:tcPr>
          <w:p w:rsidR="00BE3092" w:rsidRDefault="00BE3092" w:rsidP="00887699">
            <w:r w:rsidRPr="00C938AD">
              <w:rPr>
                <w:rFonts w:ascii="宋体" w:hAnsi="宋体"/>
                <w:szCs w:val="21"/>
              </w:rPr>
              <w:t>四川银行四川锦</w:t>
            </w:r>
            <w:proofErr w:type="gramStart"/>
            <w:r w:rsidRPr="00C938AD">
              <w:rPr>
                <w:rFonts w:ascii="宋体" w:hAnsi="宋体" w:hint="eastAsia"/>
                <w:szCs w:val="21"/>
              </w:rPr>
              <w:t>程</w:t>
            </w:r>
            <w:r w:rsidRPr="00C938AD">
              <w:rPr>
                <w:rFonts w:ascii="宋体" w:hAnsi="宋体"/>
                <w:szCs w:val="21"/>
              </w:rPr>
              <w:t>消费</w:t>
            </w:r>
            <w:proofErr w:type="gramEnd"/>
            <w:r w:rsidRPr="00C938AD">
              <w:rPr>
                <w:rFonts w:ascii="宋体" w:hAnsi="宋体"/>
                <w:szCs w:val="21"/>
              </w:rPr>
              <w:t>金融同业借款</w:t>
            </w:r>
          </w:p>
        </w:tc>
        <w:tc>
          <w:tcPr>
            <w:tcW w:w="800" w:type="pct"/>
            <w:shd w:val="clear" w:color="auto" w:fill="auto"/>
          </w:tcPr>
          <w:p w:rsidR="00BE3092" w:rsidRDefault="00BE3092" w:rsidP="00887699">
            <w:r>
              <w:rPr>
                <w:rFonts w:hint="eastAsia"/>
              </w:rPr>
              <w:t>四川锦程消费金融有限责任公司</w:t>
            </w:r>
          </w:p>
        </w:tc>
        <w:tc>
          <w:tcPr>
            <w:tcW w:w="699" w:type="pct"/>
            <w:shd w:val="clear" w:color="auto" w:fill="auto"/>
          </w:tcPr>
          <w:p w:rsidR="00BE3092" w:rsidRDefault="00882A37" w:rsidP="00887699">
            <w:r>
              <w:rPr>
                <w:rFonts w:hint="eastAsia"/>
              </w:rPr>
              <w:t>39</w:t>
            </w:r>
            <w:r w:rsidR="00BE3092">
              <w:rPr>
                <w:rFonts w:hint="eastAsia"/>
              </w:rPr>
              <w:t>天</w:t>
            </w:r>
          </w:p>
        </w:tc>
        <w:tc>
          <w:tcPr>
            <w:tcW w:w="941" w:type="pct"/>
            <w:shd w:val="clear" w:color="auto" w:fill="auto"/>
          </w:tcPr>
          <w:p w:rsidR="00BE3092" w:rsidRDefault="00BE3092" w:rsidP="00887699">
            <w:r>
              <w:rPr>
                <w:rFonts w:hint="eastAsia"/>
              </w:rPr>
              <w:t>到期还本付息</w:t>
            </w:r>
          </w:p>
        </w:tc>
        <w:tc>
          <w:tcPr>
            <w:tcW w:w="810" w:type="pct"/>
            <w:shd w:val="clear" w:color="auto" w:fill="auto"/>
          </w:tcPr>
          <w:p w:rsidR="00BE3092" w:rsidRDefault="00BE3092" w:rsidP="00887699">
            <w:r>
              <w:rPr>
                <w:rFonts w:hint="eastAsia"/>
              </w:rPr>
              <w:t>同业借款</w:t>
            </w:r>
          </w:p>
        </w:tc>
        <w:tc>
          <w:tcPr>
            <w:tcW w:w="659" w:type="pct"/>
            <w:shd w:val="clear" w:color="auto" w:fill="auto"/>
          </w:tcPr>
          <w:p w:rsidR="00BE3092" w:rsidRDefault="00BE3092" w:rsidP="00887699">
            <w:r>
              <w:rPr>
                <w:rFonts w:hint="eastAsia"/>
              </w:rPr>
              <w:t>正常</w:t>
            </w:r>
          </w:p>
        </w:tc>
      </w:tr>
    </w:tbl>
    <w:p w:rsidR="0005028E" w:rsidRDefault="0005028E">
      <w:pPr>
        <w:jc w:val="left"/>
        <w:rPr>
          <w:rFonts w:asciiTheme="minorEastAsia" w:eastAsiaTheme="minorEastAsia" w:hAnsiTheme="minorEastAsia"/>
          <w:szCs w:val="21"/>
        </w:rPr>
      </w:pPr>
    </w:p>
    <w:p w:rsidR="0005028E" w:rsidRDefault="0005028E">
      <w:pPr>
        <w:jc w:val="right"/>
        <w:rPr>
          <w:rFonts w:ascii="宋体" w:hAnsi="宋体"/>
          <w:sz w:val="24"/>
        </w:rPr>
      </w:pPr>
    </w:p>
    <w:p w:rsidR="0005028E" w:rsidRDefault="0005028E">
      <w:pPr>
        <w:jc w:val="right"/>
        <w:rPr>
          <w:rFonts w:ascii="宋体" w:hAnsi="宋体"/>
          <w:sz w:val="24"/>
        </w:rPr>
      </w:pPr>
    </w:p>
    <w:p w:rsidR="0005028E" w:rsidRDefault="0005028E">
      <w:pPr>
        <w:jc w:val="right"/>
        <w:rPr>
          <w:rFonts w:ascii="宋体" w:hAnsi="宋体"/>
          <w:sz w:val="24"/>
        </w:rPr>
      </w:pPr>
    </w:p>
    <w:p w:rsidR="0005028E" w:rsidRDefault="0005028E">
      <w:pPr>
        <w:jc w:val="right"/>
        <w:rPr>
          <w:rFonts w:ascii="宋体" w:hAnsi="宋体"/>
          <w:sz w:val="24"/>
        </w:rPr>
      </w:pPr>
      <w:bookmarkStart w:id="5" w:name="_GoBack"/>
      <w:bookmarkEnd w:id="5"/>
    </w:p>
    <w:p w:rsidR="0005028E" w:rsidRDefault="00542B02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 w:rsidR="0005028E" w:rsidRDefault="00542B02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2023-04-15</w:t>
      </w:r>
      <w:r>
        <w:rPr>
          <w:rFonts w:ascii="宋体" w:hAnsi="宋体" w:hint="eastAsia"/>
          <w:sz w:val="28"/>
          <w:szCs w:val="28"/>
        </w:rPr>
        <w:t xml:space="preserve">                   </w:t>
      </w:r>
    </w:p>
    <w:sectPr w:rsidR="0005028E">
      <w:footerReference w:type="even" r:id="rId9"/>
      <w:footerReference w:type="default" r:id="rId10"/>
      <w:pgSz w:w="11906" w:h="16838"/>
      <w:pgMar w:top="1440" w:right="1531" w:bottom="1134" w:left="1531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7D5" w:rsidRDefault="003727D5">
      <w:r>
        <w:separator/>
      </w:r>
    </w:p>
  </w:endnote>
  <w:endnote w:type="continuationSeparator" w:id="0">
    <w:p w:rsidR="003727D5" w:rsidRDefault="00372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28E" w:rsidRDefault="00542B02">
    <w:pPr>
      <w:pStyle w:val="a7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05028E" w:rsidRDefault="0005028E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28E" w:rsidRDefault="00542B02">
    <w:pPr>
      <w:pStyle w:val="a7"/>
      <w:framePr w:wrap="around" w:vAnchor="text" w:hAnchor="margin" w:xAlign="right" w:y="1"/>
      <w:rPr>
        <w:rStyle w:val="af"/>
      </w:rPr>
    </w:pPr>
    <w:r>
      <w:rPr>
        <w:rStyle w:val="af"/>
        <w:rFonts w:hint="eastAsia"/>
      </w:rPr>
      <w:t xml:space="preserve"> </w:t>
    </w:r>
  </w:p>
  <w:p w:rsidR="0005028E" w:rsidRDefault="0005028E">
    <w:pPr>
      <w:pStyle w:val="a7"/>
      <w:ind w:right="10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7D5" w:rsidRDefault="003727D5">
      <w:r>
        <w:separator/>
      </w:r>
    </w:p>
  </w:footnote>
  <w:footnote w:type="continuationSeparator" w:id="0">
    <w:p w:rsidR="003727D5" w:rsidRDefault="003727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7D73EE"/>
    <w:multiLevelType w:val="multilevel"/>
    <w:tmpl w:val="547D73EE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454" w:hanging="454"/>
      </w:pPr>
      <w:rPr>
        <w:rFonts w:hint="eastAsia"/>
      </w:r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rFonts w:hint="eastAsia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  <w:rPr>
        <w:rFonts w:hint="eastAsia"/>
      </w:r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E1B1D2A"/>
    <w:multiLevelType w:val="multilevel"/>
    <w:tmpl w:val="7E1B1D2A"/>
    <w:lvl w:ilvl="0">
      <w:start w:val="1"/>
      <w:numFmt w:val="decimal"/>
      <w:pStyle w:val="XBRLTitle1"/>
      <w:lvlText w:val="%1、"/>
      <w:lvlJc w:val="left"/>
      <w:pPr>
        <w:ind w:left="420" w:hanging="420"/>
      </w:pPr>
      <w:rPr>
        <w:rFonts w:hint="eastAsia"/>
        <w:spacing w:val="-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028E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750E3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50CA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7D5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2B02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2A37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3092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6666E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0319F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2762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10AF89D-07D4-4EE4-BD09-12035BD4B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4">
    <w:name w:val="heading 4"/>
    <w:basedOn w:val="a"/>
    <w:next w:val="a"/>
    <w:link w:val="4Char"/>
    <w:semiHidden/>
    <w:unhideWhenUsed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pPr>
      <w:shd w:val="clear" w:color="auto" w:fill="000080"/>
    </w:pPr>
  </w:style>
  <w:style w:type="paragraph" w:styleId="a4">
    <w:name w:val="annotation text"/>
    <w:basedOn w:val="a"/>
    <w:pPr>
      <w:jc w:val="left"/>
    </w:pPr>
  </w:style>
  <w:style w:type="paragraph" w:styleId="a5">
    <w:name w:val="Date"/>
    <w:basedOn w:val="a"/>
    <w:next w:val="a"/>
    <w:link w:val="Char"/>
    <w:rPr>
      <w:rFonts w:ascii="宋体"/>
      <w:sz w:val="32"/>
      <w:lang w:val="zh-CN"/>
    </w:rPr>
  </w:style>
  <w:style w:type="paragraph" w:styleId="a6">
    <w:name w:val="Balloon Text"/>
    <w:basedOn w:val="a"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2"/>
    <w:next w:val="3"/>
    <w:link w:val="Char0"/>
    <w:qFormat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aa">
    <w:name w:val="footnote text"/>
    <w:basedOn w:val="a"/>
    <w:link w:val="Char1"/>
    <w:pPr>
      <w:snapToGrid w:val="0"/>
      <w:jc w:val="left"/>
    </w:pPr>
    <w:rPr>
      <w:sz w:val="18"/>
      <w:szCs w:val="18"/>
      <w:lang w:val="zh-CN"/>
    </w:rPr>
  </w:style>
  <w:style w:type="paragraph" w:styleId="ab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c">
    <w:name w:val="Title"/>
    <w:basedOn w:val="1"/>
    <w:next w:val="2"/>
    <w:link w:val="Char2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ad">
    <w:name w:val="annotation subject"/>
    <w:basedOn w:val="a4"/>
    <w:next w:val="a4"/>
    <w:rPr>
      <w:b/>
      <w:bCs/>
    </w:rPr>
  </w:style>
  <w:style w:type="table" w:styleId="ae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age number"/>
    <w:basedOn w:val="a0"/>
  </w:style>
  <w:style w:type="character" w:styleId="af0">
    <w:name w:val="annotation reference"/>
    <w:rPr>
      <w:sz w:val="21"/>
      <w:szCs w:val="21"/>
    </w:rPr>
  </w:style>
  <w:style w:type="character" w:styleId="af1">
    <w:name w:val="footnote reference"/>
    <w:rPr>
      <w:vertAlign w:val="superscript"/>
    </w:rPr>
  </w:style>
  <w:style w:type="character" w:customStyle="1" w:styleId="3Char">
    <w:name w:val="标题 3 Char"/>
    <w:link w:val="3"/>
    <w:uiPriority w:val="9"/>
    <w:rPr>
      <w:b/>
      <w:bCs/>
      <w:sz w:val="32"/>
      <w:szCs w:val="32"/>
    </w:rPr>
  </w:style>
  <w:style w:type="character" w:customStyle="1" w:styleId="CODE">
    <w:name w:val="CODE"/>
    <w:rPr>
      <w:rFonts w:ascii="Courier New" w:hAnsi="Courier New"/>
      <w:spacing w:val="-10"/>
      <w:sz w:val="20"/>
      <w:lang w:val="en-GB" w:eastAsia="zh-CN"/>
    </w:rPr>
  </w:style>
  <w:style w:type="character" w:customStyle="1" w:styleId="Char0">
    <w:name w:val="副标题 Char"/>
    <w:link w:val="a9"/>
    <w:rPr>
      <w:rFonts w:ascii="Cambria" w:eastAsia="宋体" w:hAnsi="Cambria" w:cs="Times New Roman"/>
      <w:b/>
      <w:kern w:val="28"/>
      <w:sz w:val="24"/>
      <w:szCs w:val="32"/>
    </w:rPr>
  </w:style>
  <w:style w:type="character" w:customStyle="1" w:styleId="1Char">
    <w:name w:val="标题 1 Char"/>
    <w:link w:val="1"/>
    <w:uiPriority w:val="9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2">
    <w:name w:val="标题 Char"/>
    <w:link w:val="ac"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CharCharCharCharCharChar1CharCharChar">
    <w:name w:val="Char Char Char Char Char Char1 Char Char Char"/>
    <w:basedOn w:val="a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af2">
    <w:name w:val="次标题"/>
    <w:basedOn w:val="3"/>
    <w:next w:val="a"/>
    <w:pPr>
      <w:jc w:val="left"/>
    </w:pPr>
    <w:rPr>
      <w:rFonts w:ascii="宋体" w:hAnsi="宋体"/>
      <w:sz w:val="24"/>
      <w:szCs w:val="24"/>
    </w:rPr>
  </w:style>
  <w:style w:type="paragraph" w:customStyle="1" w:styleId="Char3">
    <w:name w:val="Char"/>
    <w:basedOn w:val="a"/>
  </w:style>
  <w:style w:type="character" w:customStyle="1" w:styleId="4Char">
    <w:name w:val="标题 4 Char"/>
    <w:link w:val="4"/>
    <w:semiHidden/>
    <w:rPr>
      <w:rFonts w:ascii="Cambria" w:eastAsia="宋体" w:hAnsi="Cambria" w:cs="Times New Roman"/>
      <w:b/>
      <w:bCs/>
      <w:sz w:val="28"/>
      <w:szCs w:val="28"/>
    </w:rPr>
  </w:style>
  <w:style w:type="paragraph" w:customStyle="1" w:styleId="XBRL1">
    <w:name w:val="XBRL标题1"/>
    <w:basedOn w:val="1"/>
    <w:next w:val="2"/>
    <w:qFormat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XBRL2">
    <w:name w:val="XBRL标题2"/>
    <w:basedOn w:val="a9"/>
    <w:next w:val="4"/>
    <w:qFormat/>
    <w:pPr>
      <w:spacing w:beforeLines="50" w:afterLines="50" w:line="240" w:lineRule="auto"/>
    </w:pPr>
    <w:rPr>
      <w:bCs/>
    </w:rPr>
  </w:style>
  <w:style w:type="paragraph" w:customStyle="1" w:styleId="XBRL3">
    <w:name w:val="XBRL标题3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4">
    <w:name w:val="XBRL标题4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5">
    <w:name w:val="XBRL标题5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6">
    <w:name w:val="XBRL标题6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numPr>
        <w:numId w:val="1"/>
      </w:numPr>
      <w:spacing w:beforeLines="50" w:before="156" w:afterLines="50" w:after="156" w:line="240" w:lineRule="auto"/>
      <w:jc w:val="left"/>
    </w:pPr>
    <w:rPr>
      <w:rFonts w:ascii="Cambria" w:hAnsi="Cambria"/>
      <w:sz w:val="28"/>
    </w:rPr>
  </w:style>
  <w:style w:type="paragraph" w:customStyle="1" w:styleId="XBRLTitle2">
    <w:name w:val="XBRLTitle2"/>
    <w:basedOn w:val="a9"/>
    <w:next w:val="4"/>
    <w:qFormat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XBRLTitle3">
    <w:name w:val="XBRLTitle3"/>
    <w:basedOn w:val="a9"/>
    <w:next w:val="4"/>
    <w:qFormat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4">
    <w:name w:val="XBRLTitle4"/>
    <w:basedOn w:val="a9"/>
    <w:next w:val="4"/>
    <w:qFormat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5">
    <w:name w:val="XBRLTitle5"/>
    <w:basedOn w:val="a9"/>
    <w:next w:val="4"/>
    <w:qFormat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6">
    <w:name w:val="XBRLTitle6"/>
    <w:basedOn w:val="a9"/>
    <w:next w:val="4"/>
    <w:qFormat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character" w:customStyle="1" w:styleId="Char1">
    <w:name w:val="脚注文本 Char"/>
    <w:link w:val="aa"/>
    <w:rPr>
      <w:kern w:val="2"/>
      <w:sz w:val="18"/>
      <w:szCs w:val="18"/>
    </w:rPr>
  </w:style>
  <w:style w:type="character" w:customStyle="1" w:styleId="Char">
    <w:name w:val="日期 Char"/>
    <w:link w:val="a5"/>
    <w:rPr>
      <w:rFonts w:ascii="宋体"/>
      <w:kern w:val="2"/>
      <w:sz w:val="32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paragraph" w:customStyle="1" w:styleId="Char10">
    <w:name w:val="Char1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5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41944F-F005-4BC6-A987-25872909B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5</Pages>
  <Words>349</Words>
  <Characters>1991</Characters>
  <Application>Microsoft Office Word</Application>
  <DocSecurity>0</DocSecurity>
  <Lines>16</Lines>
  <Paragraphs>4</Paragraphs>
  <ScaleCrop>false</ScaleCrop>
  <Company>Lenovo</Company>
  <LinksUpToDate>false</LinksUpToDate>
  <CharactersWithSpaces>2336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creator>yss</dc:creator>
  <cp:lastModifiedBy>尹云飞</cp:lastModifiedBy>
  <cp:revision>155</cp:revision>
  <cp:lastPrinted>2411-12-31T15:59:00Z</cp:lastPrinted>
  <dcterms:created xsi:type="dcterms:W3CDTF">2020-01-07T12:08:00Z</dcterms:created>
  <dcterms:modified xsi:type="dcterms:W3CDTF">2023-04-18T03:32:00Z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</Properties>
</file>