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四川银行定开系列1个月1号净值型理财产品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2023年第2季度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自2023-04-01起至2023-06-30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四川银行定开系列1个月1号净值型理财产品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2022-09-15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76,254,208.00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[2.7%-3.6%]/年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2.25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2023-06-30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41,558.53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326,394.32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76,321,173.90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1.0009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60,639,488.21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78.36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60,639,488.21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78.36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7,002,422.44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9.05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9,740,160.10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12.59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746.16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77,382,816.91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23湔江非公开短债D1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7,018,564.38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7,002,422.44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6,119,926.03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23桂林银行CD133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5,980,844.35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5,261,726.03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20广投01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5,217,664.38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5,078,650.69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PR金投01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4,186,917.81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4,168,230.14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21东方电气MTN002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4,147,327.12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5.43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  <w:bidi w:val="0"/>
        <w:ind w:left="420" w:leftChars="0" w:hanging="420" w:firstLineChars="0"/>
        <w:rPr>
          <w:rFonts w:hint="eastAsia"/>
          <w:lang w:val="en-US" w:eastAsia="zh-CN"/>
        </w:rPr>
      </w:pPr>
      <w:bookmarkStart w:id="5" w:name="_GoBack"/>
      <w:r>
        <w:rPr>
          <w:rFonts w:hint="eastAsia"/>
          <w:lang w:val="en-US" w:eastAsia="zh-CN"/>
        </w:rPr>
        <w:t>关联交易情况说明</w:t>
      </w:r>
    </w:p>
    <w:p>
      <w:pPr>
        <w:pStyle w:val="3"/>
        <w:rPr>
          <w:rFonts w:hint="default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本报告期末，本产品投资的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21眉府01</w:t>
      </w:r>
      <w:r>
        <w:rPr>
          <w:rFonts w:hint="eastAsia" w:ascii="宋体" w:hAnsi="宋体" w:cs="Times New Roman"/>
          <w:b w:val="0"/>
          <w:bCs w:val="0"/>
          <w:kern w:val="2"/>
          <w:sz w:val="21"/>
          <w:szCs w:val="21"/>
          <w:lang w:val="en-US" w:eastAsia="zh-CN" w:bidi="ar-SA"/>
        </w:rPr>
        <w:t>属于关联交易。</w:t>
      </w:r>
    </w:p>
    <w:bookmarkEnd w:id="5"/>
    <w:p>
      <w:pPr>
        <w:spacing w:line="360" w:lineRule="auto"/>
        <w:ind w:right="-107" w:rightChars="-51"/>
        <w:jc w:val="left"/>
        <w:rPr>
          <w:rFonts w:hint="default" w:ascii="宋体" w:hAnsi="宋体"/>
          <w:szCs w:val="21"/>
          <w:lang w:val="en-US" w:eastAsia="zh-CN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422C0BBC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1</TotalTime>
  <ScaleCrop>false</ScaleCrop>
  <LinksUpToDate>false</LinksUpToDate>
  <CharactersWithSpaces>1954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80308982</cp:lastModifiedBy>
  <cp:lastPrinted>2411-12-31T16:00:00Z</cp:lastPrinted>
  <dcterms:modified xsi:type="dcterms:W3CDTF">2023-07-03T07:14:32Z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