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rPr>
          <w:sz w:val="48"/>
        </w:rPr>
      </w:pPr>
    </w:p>
    <w:p>
      <w:pPr>
        <w:rPr>
          <w:sz w:val="48"/>
        </w:rPr>
      </w:pPr>
    </w:p>
    <w:p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ascii="宋体" w:hAnsi="宋体"/>
          <w:b/>
          <w:bCs/>
          <w:sz w:val="48"/>
          <w:szCs w:val="30"/>
        </w:rPr>
        <w:t xml:space="preserve">四川银行定开系列3个月1号净值型理财产品 </w:t>
      </w:r>
    </w:p>
    <w:p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ascii="宋体" w:hAnsi="宋体"/>
          <w:b/>
          <w:bCs/>
          <w:sz w:val="48"/>
          <w:szCs w:val="30"/>
        </w:rPr>
        <w:t>2024年半年度</w:t>
      </w:r>
      <w:r>
        <w:rPr>
          <w:rFonts w:hint="eastAsia" w:ascii="宋体" w:hAnsi="宋体"/>
          <w:b/>
          <w:bCs/>
          <w:sz w:val="48"/>
          <w:szCs w:val="30"/>
        </w:rPr>
        <w:t>报告</w:t>
      </w:r>
    </w:p>
    <w:p>
      <w:pPr>
        <w:jc w:val="center"/>
        <w:rPr>
          <w:rFonts w:ascii="宋体" w:hAnsi="宋体"/>
          <w:b/>
          <w:bCs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ind w:firstLine="1687" w:firstLineChars="600"/>
        <w:jc w:val="left"/>
        <w:rPr>
          <w:rFonts w:ascii="宋体" w:hAnsi="宋体"/>
          <w:b/>
          <w:bCs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>产品管理人：四川银行股份有限公司</w:t>
      </w:r>
    </w:p>
    <w:p>
      <w:pPr>
        <w:ind w:firstLine="1687" w:firstLineChars="600"/>
        <w:jc w:val="left"/>
        <w:rPr>
          <w:rFonts w:ascii="宋体" w:hAnsi="宋体"/>
          <w:b/>
          <w:bCs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>产品托管人：招商银行股份有限公司成都分行</w:t>
      </w:r>
    </w:p>
    <w:p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>
      <w:pPr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b/>
          <w:bCs/>
          <w:sz w:val="28"/>
          <w:szCs w:val="30"/>
        </w:rPr>
      </w:pPr>
    </w:p>
    <w:p>
      <w:pPr>
        <w:jc w:val="center"/>
        <w:rPr>
          <w:rFonts w:ascii="宋体" w:hAnsi="宋体"/>
          <w:b/>
          <w:bCs/>
          <w:sz w:val="28"/>
          <w:szCs w:val="30"/>
        </w:rPr>
      </w:pPr>
      <w:r>
        <w:rPr>
          <w:rFonts w:hint="eastAsia" w:ascii="宋体" w:hAnsi="宋体"/>
          <w:b/>
          <w:bCs/>
          <w:sz w:val="28"/>
          <w:szCs w:val="30"/>
        </w:rPr>
        <w:t>重要提示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产品托管人</w:t>
      </w:r>
      <w:r>
        <w:rPr>
          <w:rFonts w:ascii="宋体" w:hAnsi="宋体"/>
          <w:szCs w:val="21"/>
        </w:rPr>
        <w:t>招商银行股份有限公司成都分行</w:t>
      </w:r>
      <w:r>
        <w:rPr>
          <w:rFonts w:hint="eastAsia" w:ascii="宋体" w:hAnsi="宋体"/>
          <w:szCs w:val="21"/>
        </w:rPr>
        <w:t>根据《商业银行理财业务监督管理办法》规定，复核了本报告中的产品收益表现、主要财务指标、投资组合情况等内容，保证复核内容不存在虚假记载、误导性陈述或者重大遗漏。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产品管理人承诺以诚实信用、勤勉尽责的原则管理和运用理财资产，但不保证一定盈利。产品的过往业绩并不代表其未来表现。投资有风险，投资者在作出投资决策前应仔细阅读本产品的发行文件。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本报告中财务资料未经审计。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本</w:t>
      </w:r>
      <w:r>
        <w:rPr>
          <w:rFonts w:ascii="宋体" w:hAnsi="宋体"/>
          <w:szCs w:val="21"/>
        </w:rPr>
        <w:t>报告期</w:t>
      </w:r>
      <w:r>
        <w:rPr>
          <w:rFonts w:hint="eastAsia" w:ascii="宋体" w:hAnsi="宋体"/>
          <w:szCs w:val="21"/>
        </w:rPr>
        <w:t>自2024-01-01起至2024-06-30</w:t>
      </w:r>
      <w:r>
        <w:rPr>
          <w:rFonts w:ascii="宋体" w:hAnsi="宋体"/>
          <w:szCs w:val="21"/>
        </w:rPr>
        <w:t>止。</w:t>
      </w:r>
    </w:p>
    <w:p>
      <w:pPr>
        <w:pStyle w:val="40"/>
      </w:pPr>
      <w:r>
        <w:rPr>
          <w:rFonts w:hint="eastAsia"/>
          <w:lang w:eastAsia="zh-CN"/>
        </w:rPr>
        <w:t>产品</w:t>
      </w:r>
      <w:r>
        <w:rPr>
          <w:rFonts w:hint="eastAsia"/>
        </w:rPr>
        <w:t>基本情况</w:t>
      </w:r>
      <w:r>
        <w:rPr>
          <w:rFonts w:hint="eastAsia"/>
          <w:lang w:eastAsia="zh-CN"/>
        </w:rPr>
        <w:t xml:space="preserve"> </w:t>
      </w:r>
    </w:p>
    <w:tbl>
      <w:tblPr>
        <w:tblStyle w:val="17"/>
        <w:tblW w:w="8865" w:type="dxa"/>
        <w:tblInd w:w="9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38"/>
        <w:gridCol w:w="50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项目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  <w:b/>
              </w:rPr>
            </w:pPr>
            <w:r>
              <w:rPr>
                <w:rFonts w:hint="eastAsia" w:ascii="宋体" w:hAnsi="宋体"/>
                <w:b/>
              </w:rPr>
              <w:t>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产品名称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四川银行定开系列3个月1号净值型理财产品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产品登记编码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C1438122000016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ind w:right="-107" w:rightChars="-51"/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产品管理人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四川银行股份有限公司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产品托管人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招商银行股份有限公司成都分行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产品运作方式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公募定期开放式净值型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产品成立日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2022-04-07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产品到期日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9999-12-31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1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报告期末产品份额总额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bookmarkStart w:id="0" w:name="OLE_LINK1"/>
            <w:r>
              <w:rPr>
                <w:rFonts w:hint="eastAsia" w:ascii="宋体" w:hAnsi="宋体"/>
              </w:rPr>
              <w:t>244,776,700.00</w:t>
            </w:r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业绩比较基准（如有）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[3%-3.6%]/年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期末杠杆水平</w:t>
            </w:r>
          </w:p>
        </w:tc>
        <w:tc>
          <w:tcPr>
            <w:tcW w:w="50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101.96%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估值方法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市值法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托管户户名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四川银行-四川银行定开系列3个月1号净值型理财产品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托管户账户账号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128912158810724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托管户开户行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招商银行成都分行营业部</w:t>
            </w:r>
          </w:p>
        </w:tc>
      </w:tr>
    </w:tbl>
    <w:p>
      <w:pPr>
        <w:pStyle w:val="40"/>
        <w:rPr>
          <w:lang w:eastAsia="zh-CN"/>
        </w:rPr>
      </w:pPr>
      <w:r>
        <w:rPr>
          <w:rFonts w:hint="eastAsia"/>
        </w:rPr>
        <w:t>产品</w:t>
      </w:r>
      <w:r>
        <w:rPr>
          <w:rFonts w:hint="eastAsia"/>
          <w:lang w:eastAsia="zh-CN"/>
        </w:rPr>
        <w:t>收益</w:t>
      </w:r>
      <w:r>
        <w:rPr>
          <w:rFonts w:hint="eastAsia"/>
        </w:rPr>
        <w:t>表现</w:t>
      </w:r>
    </w:p>
    <w:tbl>
      <w:tblPr>
        <w:tblStyle w:val="17"/>
        <w:tblW w:w="8956" w:type="dxa"/>
        <w:tblInd w:w="8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53"/>
        <w:gridCol w:w="510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6" w:hRule="atLeast"/>
        </w:trPr>
        <w:tc>
          <w:tcPr>
            <w:tcW w:w="3853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</w:rPr>
            </w:pPr>
            <w:r>
              <w:rPr>
                <w:rFonts w:hint="eastAsia"/>
                <w:b/>
              </w:rPr>
              <w:t>阶段</w:t>
            </w:r>
          </w:p>
        </w:tc>
        <w:tc>
          <w:tcPr>
            <w:tcW w:w="5103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</w:rPr>
            </w:pPr>
            <w:r>
              <w:rPr>
                <w:rFonts w:hint="eastAsia"/>
                <w:b/>
              </w:rPr>
              <w:t>净值增长率（%）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</w:trPr>
        <w:tc>
          <w:tcPr>
            <w:tcW w:w="3853" w:type="dxa"/>
            <w:vAlign w:val="center"/>
          </w:tcPr>
          <w:p>
            <w:pPr>
              <w:jc w:val="both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当期（</w:t>
            </w:r>
            <w:r>
              <w:rPr>
                <w:rFonts w:ascii="宋体" w:hAnsi="宋体"/>
              </w:rPr>
              <w:t>2024-01-01</w:t>
            </w:r>
            <w:r>
              <w:rPr>
                <w:rFonts w:hint="eastAsia" w:ascii="宋体" w:hAnsi="宋体"/>
              </w:rPr>
              <w:t>至</w:t>
            </w:r>
            <w:r>
              <w:rPr>
                <w:rFonts w:ascii="宋体" w:hAnsi="宋体"/>
              </w:rPr>
              <w:t>2024-06-30</w:t>
            </w:r>
            <w:r>
              <w:rPr>
                <w:rFonts w:hint="eastAsia" w:ascii="宋体" w:hAnsi="宋体"/>
              </w:rPr>
              <w:t>）</w:t>
            </w:r>
          </w:p>
        </w:tc>
        <w:tc>
          <w:tcPr>
            <w:tcW w:w="510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1.59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</w:trPr>
        <w:tc>
          <w:tcPr>
            <w:tcW w:w="3853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自产品成立日至今</w:t>
            </w:r>
          </w:p>
        </w:tc>
        <w:tc>
          <w:tcPr>
            <w:tcW w:w="510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7.41</w:t>
            </w:r>
            <w:bookmarkStart w:id="1" w:name="OLE_LINK7"/>
            <w:bookmarkEnd w:id="1"/>
            <w:bookmarkStart w:id="2" w:name="OLE_LINK4"/>
            <w:bookmarkEnd w:id="2"/>
          </w:p>
        </w:tc>
      </w:tr>
    </w:tbl>
    <w:p>
      <w:pPr>
        <w:spacing w:line="360" w:lineRule="auto"/>
        <w:ind w:left="420" w:leftChars="200"/>
        <w:jc w:val="left"/>
        <w:rPr>
          <w:rFonts w:ascii="宋体" w:hAnsi="宋体"/>
          <w:sz w:val="24"/>
        </w:rPr>
      </w:pPr>
      <w:r>
        <w:rPr>
          <w:rFonts w:ascii="宋体" w:hAnsi="宋体"/>
          <w:sz w:val="24"/>
        </w:rPr>
        <w:t xml:space="preserve"> </w:t>
      </w:r>
    </w:p>
    <w:p>
      <w:pPr>
        <w:pStyle w:val="40"/>
      </w:pPr>
      <w:r>
        <w:rPr>
          <w:rFonts w:hint="eastAsia"/>
        </w:rPr>
        <w:t>主要财务指标</w:t>
      </w:r>
    </w:p>
    <w:p>
      <w:pPr>
        <w:jc w:val="right"/>
        <w:rPr>
          <w:rFonts w:ascii="宋体" w:hAnsi="宋体"/>
        </w:rPr>
      </w:pPr>
      <w:r>
        <w:rPr>
          <w:rFonts w:hint="eastAsia" w:ascii="宋体" w:hAnsi="宋体"/>
        </w:rPr>
        <w:t>金额单位：元</w:t>
      </w:r>
    </w:p>
    <w:tbl>
      <w:tblPr>
        <w:tblStyle w:val="17"/>
        <w:tblW w:w="8865" w:type="dxa"/>
        <w:tblInd w:w="9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38"/>
        <w:gridCol w:w="50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atLeast"/>
        </w:trPr>
        <w:tc>
          <w:tcPr>
            <w:tcW w:w="3838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</w:rPr>
            </w:pPr>
            <w:r>
              <w:rPr>
                <w:rFonts w:hint="eastAsia" w:ascii="宋体" w:hAnsi="宋体"/>
                <w:b/>
                <w:szCs w:val="21"/>
              </w:rPr>
              <w:t>项目</w:t>
            </w:r>
          </w:p>
        </w:tc>
        <w:tc>
          <w:tcPr>
            <w:tcW w:w="5027" w:type="dxa"/>
            <w:shd w:val="clear" w:color="auto" w:fill="D9D9D9"/>
            <w:vAlign w:val="center"/>
          </w:tcPr>
          <w:p>
            <w:pPr>
              <w:jc w:val="left"/>
              <w:rPr>
                <w:b/>
              </w:rPr>
            </w:pPr>
            <w:r>
              <w:rPr>
                <w:b/>
              </w:rPr>
              <w:t>2024-01-01</w:t>
            </w:r>
            <w:r>
              <w:rPr>
                <w:rFonts w:hint="eastAsia"/>
                <w:b/>
              </w:rPr>
              <w:t xml:space="preserve">至 </w:t>
            </w:r>
            <w:r>
              <w:rPr>
                <w:b/>
              </w:rPr>
              <w:t>2024-06-30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本期已实现收益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2,345,009.50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本期利润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3,442,746.02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期末产品资产净值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246,650,093.22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期末产品份额净值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1.0077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both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  <w:lang w:val="en-US" w:eastAsia="zh-CN"/>
              </w:rPr>
              <w:t>期末累计单位净值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1.0741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期末最后一个市场交易日资产净值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246,607,112.38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hint="eastAsia" w:ascii="宋体" w:hAnsi="宋体" w:eastAsia="宋体" w:cs="Times New Roman"/>
                <w:b/>
                <w:bCs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期末最后一个市场交易日</w:t>
            </w:r>
            <w:r>
              <w:rPr>
                <w:rFonts w:hint="eastAsia" w:ascii="宋体" w:hAnsi="宋体"/>
                <w:lang w:val="en-US" w:eastAsia="zh-CN"/>
              </w:rPr>
              <w:t>份额</w:t>
            </w:r>
            <w:r>
              <w:rPr>
                <w:rFonts w:hint="eastAsia" w:ascii="宋体" w:hAnsi="宋体"/>
              </w:rPr>
              <w:t>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1.0075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期末最后一个市场交易日</w:t>
            </w:r>
            <w:r>
              <w:rPr>
                <w:rFonts w:hint="eastAsia" w:ascii="宋体" w:hAnsi="宋体"/>
                <w:lang w:val="en-US" w:eastAsia="zh-CN"/>
              </w:rPr>
              <w:t>累计单位</w:t>
            </w:r>
            <w:r>
              <w:rPr>
                <w:rFonts w:hint="eastAsia" w:ascii="宋体" w:hAnsi="宋体"/>
              </w:rPr>
              <w:t>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1.0739</w:t>
            </w:r>
          </w:p>
        </w:tc>
      </w:tr>
    </w:tbl>
    <w:p>
      <w:pPr>
        <w:tabs>
          <w:tab w:val="left" w:pos="3135"/>
        </w:tabs>
        <w:ind w:left="420" w:left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</w:t>
      </w:r>
    </w:p>
    <w:p>
      <w:pPr>
        <w:pStyle w:val="40"/>
      </w:pPr>
      <w:r>
        <w:rPr>
          <w:rFonts w:hint="eastAsia"/>
        </w:rPr>
        <w:t>投资组合情况</w:t>
      </w:r>
      <w:r>
        <w:rPr>
          <w:rFonts w:hint="eastAsia"/>
          <w:lang w:eastAsia="zh-CN"/>
        </w:rPr>
        <w:t>及</w:t>
      </w:r>
      <w:r>
        <w:rPr>
          <w:lang w:eastAsia="zh-CN"/>
        </w:rPr>
        <w:t>流动性风险分析</w:t>
      </w: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>
      <w:pPr>
        <w:pStyle w:val="41"/>
        <w:spacing w:before="156" w:after="156"/>
      </w:pPr>
      <w:r>
        <w:rPr>
          <w:rFonts w:hint="eastAsia"/>
          <w:b w:val="0"/>
        </w:rPr>
        <w:t>期末资产组合情况</w:t>
      </w:r>
    </w:p>
    <w:p>
      <w:pPr>
        <w:rPr>
          <w:lang w:val="zh-CN" w:eastAsia="zh-CN"/>
        </w:rPr>
      </w:pPr>
    </w:p>
    <w:p>
      <w:pPr>
        <w:jc w:val="right"/>
      </w:pPr>
    </w:p>
    <w:p>
      <w:pPr>
        <w:jc w:val="right"/>
      </w:pPr>
    </w:p>
    <w:p>
      <w:pPr>
        <w:jc w:val="right"/>
      </w:pPr>
      <w:r>
        <w:rPr>
          <w:rFonts w:hint="eastAsia"/>
        </w:rPr>
        <w:t>金额单位：元</w:t>
      </w:r>
    </w:p>
    <w:tbl>
      <w:tblPr>
        <w:tblStyle w:val="17"/>
        <w:tblW w:w="886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1"/>
        <w:gridCol w:w="1447"/>
        <w:gridCol w:w="1697"/>
        <w:gridCol w:w="1749"/>
        <w:gridCol w:w="1653"/>
        <w:gridCol w:w="17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611" w:type="dxa"/>
            <w:vMerge w:val="restart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序号</w:t>
            </w:r>
          </w:p>
        </w:tc>
        <w:tc>
          <w:tcPr>
            <w:tcW w:w="1447" w:type="dxa"/>
            <w:vMerge w:val="restart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项目</w:t>
            </w:r>
          </w:p>
        </w:tc>
        <w:tc>
          <w:tcPr>
            <w:tcW w:w="3446" w:type="dxa"/>
            <w:gridSpan w:val="2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直接</w:t>
            </w:r>
            <w:r>
              <w:rPr>
                <w:rFonts w:ascii="宋体" w:hAnsi="宋体"/>
                <w:b/>
                <w:szCs w:val="21"/>
              </w:rPr>
              <w:t>投资</w:t>
            </w:r>
          </w:p>
        </w:tc>
        <w:tc>
          <w:tcPr>
            <w:tcW w:w="3358" w:type="dxa"/>
            <w:gridSpan w:val="2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间接</w:t>
            </w:r>
            <w:r>
              <w:rPr>
                <w:rFonts w:ascii="宋体" w:hAnsi="宋体"/>
                <w:b/>
                <w:szCs w:val="21"/>
              </w:rPr>
              <w:t>投资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611" w:type="dxa"/>
            <w:vMerge w:val="continue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447" w:type="dxa"/>
            <w:vMerge w:val="continue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697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金额</w:t>
            </w:r>
          </w:p>
        </w:tc>
        <w:tc>
          <w:tcPr>
            <w:tcW w:w="1749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占产品总资产的比例（%）</w:t>
            </w:r>
          </w:p>
        </w:tc>
        <w:tc>
          <w:tcPr>
            <w:tcW w:w="1653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金额</w:t>
            </w:r>
          </w:p>
        </w:tc>
        <w:tc>
          <w:tcPr>
            <w:tcW w:w="1705" w:type="dxa"/>
            <w:shd w:val="clear" w:color="auto" w:fill="D9D9D9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占产品总资产的比例（%）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1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权益投资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其中：普通股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存托凭证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2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基金投资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3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固定收益投资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169,866,768.86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67.55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其中：债券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169,866,768.86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67.55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资产支持证券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4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金融衍生品投资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其中：远期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   期货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   期权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   权证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5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68,017,319.24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27.05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其中：买断式回购的买入返售金融资产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6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货币市场工具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7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银行存款和结算备付金合计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13,490,180.31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5.36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8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拆放同业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9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资管</w:t>
            </w:r>
            <w:r>
              <w:rPr>
                <w:rFonts w:ascii="宋体" w:hAnsi="宋体" w:cs="宋体"/>
                <w:kern w:val="0"/>
                <w:sz w:val="22"/>
                <w:szCs w:val="22"/>
              </w:rPr>
              <w:t>产品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10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其他资产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106,037.06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0.04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shd w:val="clear" w:color="auto" w:fill="auto"/>
          </w:tcPr>
          <w:p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447" w:type="dxa"/>
            <w:shd w:val="clear" w:color="auto" w:fill="auto"/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合计</w:t>
            </w:r>
          </w:p>
        </w:tc>
        <w:tc>
          <w:tcPr>
            <w:tcW w:w="1697" w:type="dxa"/>
            <w:shd w:val="clear" w:color="auto" w:fill="auto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251,480,305.47</w:t>
            </w:r>
          </w:p>
        </w:tc>
        <w:tc>
          <w:tcPr>
            <w:tcW w:w="1749" w:type="dxa"/>
            <w:shd w:val="clear" w:color="auto" w:fill="auto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100.00</w:t>
            </w:r>
          </w:p>
        </w:tc>
        <w:tc>
          <w:tcPr>
            <w:tcW w:w="1653" w:type="dxa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</w:tbl>
    <w:p>
      <w:pPr>
        <w:ind w:left="420" w:leftChars="200"/>
        <w:jc w:val="left"/>
        <w:rPr>
          <w:rFonts w:ascii="宋体" w:hAnsi="宋体"/>
          <w:sz w:val="24"/>
        </w:rPr>
      </w:pPr>
    </w:p>
    <w:p>
      <w:pPr>
        <w:ind w:left="420" w:leftChars="200"/>
        <w:jc w:val="left"/>
        <w:rPr>
          <w:rFonts w:asciiTheme="minorEastAsia" w:hAnsiTheme="minorEastAsia" w:eastAsiaTheme="minorEastAsia"/>
          <w:sz w:val="24"/>
        </w:rPr>
      </w:pPr>
    </w:p>
    <w:p>
      <w:pPr>
        <w:pStyle w:val="41"/>
        <w:spacing w:before="156" w:after="156"/>
        <w:rPr>
          <w:b w:val="0"/>
        </w:rPr>
      </w:pPr>
      <w:r>
        <w:rPr>
          <w:rFonts w:hint="eastAsia"/>
          <w:b w:val="0"/>
        </w:rPr>
        <w:t>投资</w:t>
      </w:r>
      <w:r>
        <w:rPr>
          <w:b w:val="0"/>
        </w:rPr>
        <w:t>组合流动</w:t>
      </w:r>
      <w:r>
        <w:rPr>
          <w:rFonts w:hint="eastAsia"/>
          <w:b w:val="0"/>
          <w:lang w:eastAsia="zh-CN"/>
        </w:rPr>
        <w:t>性</w:t>
      </w:r>
      <w:r>
        <w:rPr>
          <w:b w:val="0"/>
        </w:rPr>
        <w:t>风险分析</w:t>
      </w:r>
    </w:p>
    <w:p>
      <w:pPr>
        <w:spacing w:line="360" w:lineRule="auto"/>
        <w:ind w:right="-107" w:rightChars="-51" w:firstLine="48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 w:val="24"/>
        </w:rPr>
        <w:t xml:space="preserve">   </w:t>
      </w:r>
      <w:r>
        <w:rPr>
          <w:rFonts w:hint="eastAsia" w:ascii="宋体" w:hAnsi="宋体"/>
          <w:szCs w:val="21"/>
        </w:rPr>
        <w:t>本产品主要投资范围为标准化资产，并保有一定流动性储备，整体流动性风险可控。本产品通过额度控制、事前预测、募集资金、正回购及变现高流动性资产的方式应对流动性风险。具体包括：一是跟踪资金申购赎回（或到期）情况，提前备付流动资金；二是根据产品的期限，合理安排投资资产剩余期限，预防流动性风险；三是产品持有一定比例的高流动性资产，赎回期（或到期）前主要通过储备的流动性或卖出资产变现，满足产品的流动性需求。</w:t>
      </w:r>
    </w:p>
    <w:p>
      <w:pPr>
        <w:jc w:val="left"/>
        <w:rPr>
          <w:rFonts w:asciiTheme="minorEastAsia" w:hAnsiTheme="minorEastAsia" w:eastAsiaTheme="minorEastAsia"/>
          <w:sz w:val="24"/>
        </w:rPr>
      </w:pPr>
    </w:p>
    <w:p>
      <w:pPr>
        <w:widowControl/>
        <w:jc w:val="left"/>
        <w:rPr>
          <w:rFonts w:ascii="宋体" w:hAnsi="宋体"/>
          <w:sz w:val="24"/>
        </w:rPr>
      </w:pPr>
    </w:p>
    <w:p>
      <w:pPr>
        <w:pStyle w:val="41"/>
        <w:spacing w:before="156" w:after="156"/>
        <w:rPr>
          <w:b w:val="0"/>
        </w:rPr>
      </w:pPr>
      <w:r>
        <w:rPr>
          <w:rFonts w:hint="eastAsia"/>
          <w:b w:val="0"/>
        </w:rPr>
        <w:t>报告期末占资产净值比例大小排序的前十项资产</w:t>
      </w:r>
      <w:r>
        <w:rPr>
          <w:b w:val="0"/>
        </w:rPr>
        <w:t>明细</w:t>
      </w:r>
    </w:p>
    <w:p>
      <w:pPr>
        <w:jc w:val="right"/>
        <w:rPr>
          <w:rFonts w:ascii="宋体" w:hAnsi="宋体"/>
        </w:rPr>
      </w:pPr>
      <w:r>
        <w:rPr>
          <w:rFonts w:hint="eastAsia" w:ascii="宋体" w:hAnsi="宋体"/>
        </w:rPr>
        <w:t>金额单位：元</w:t>
      </w:r>
    </w:p>
    <w:tbl>
      <w:tblPr>
        <w:tblStyle w:val="17"/>
        <w:tblW w:w="90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7"/>
        <w:gridCol w:w="3159"/>
        <w:gridCol w:w="2693"/>
        <w:gridCol w:w="24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atLeast"/>
        </w:trPr>
        <w:tc>
          <w:tcPr>
            <w:tcW w:w="777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序号</w:t>
            </w:r>
          </w:p>
        </w:tc>
        <w:tc>
          <w:tcPr>
            <w:tcW w:w="3159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资产名称</w:t>
            </w:r>
          </w:p>
        </w:tc>
        <w:tc>
          <w:tcPr>
            <w:tcW w:w="2693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金额</w:t>
            </w:r>
          </w:p>
        </w:tc>
        <w:tc>
          <w:tcPr>
            <w:tcW w:w="2431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占产品资产净值比例（%）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GC007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68,017,319.24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27.58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23彭城01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13,125,231.78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5.32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3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23达州01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11,377,646.57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4.61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4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23广安MTN001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11,060,316.94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4.48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5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24成经D2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11,035,079.45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4.47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6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22川菜01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10,302,301.37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4.18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7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24新津城乡MTN001A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10,265,398.91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4.16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8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24眉控02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10,232,369.86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4.15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9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23泸州产业SCP002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10,212,158.47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4.14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10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24达州03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10,013,528.77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bookmarkStart w:id="3" w:name="OLE_LINK6"/>
            <w:bookmarkStart w:id="4" w:name="OLE_LINK5"/>
            <w:r>
              <w:rPr>
                <w:rFonts w:ascii="宋体" w:hAnsi="宋体"/>
              </w:rPr>
              <w:t>4.06</w:t>
            </w:r>
            <w:bookmarkEnd w:id="3"/>
            <w:bookmarkEnd w:id="4"/>
          </w:p>
        </w:tc>
      </w:tr>
    </w:tbl>
    <w:p>
      <w:pPr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</w:t>
      </w:r>
    </w:p>
    <w:p>
      <w:pPr>
        <w:ind w:left="424" w:leftChars="202"/>
        <w:jc w:val="left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注：前十项资产明细仅包含证券投资、场外投资，不包含银行存款、存出保证金、清算备付金等资产。</w:t>
      </w:r>
    </w:p>
    <w:p>
      <w:pPr>
        <w:pStyle w:val="40"/>
      </w:pPr>
      <w:r>
        <w:t>托管人报告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招商银行</w:t>
      </w:r>
      <w:r>
        <w:rPr>
          <w:rFonts w:hint="eastAsia" w:ascii="宋体" w:hAnsi="宋体"/>
          <w:szCs w:val="21"/>
        </w:rPr>
        <w:t>具备完善的公司治理结构、内部稽</w:t>
      </w:r>
      <w:bookmarkStart w:id="5" w:name="_GoBack"/>
      <w:bookmarkEnd w:id="5"/>
      <w:r>
        <w:rPr>
          <w:rFonts w:hint="eastAsia" w:ascii="宋体" w:hAnsi="宋体"/>
          <w:szCs w:val="21"/>
        </w:rPr>
        <w:t>核监控制度和风险控制制度，我行在履行托管职责中，严格遵守有关法律法规、托管协议的规定，尽职尽责地履行托管义务并安全保管托管资产。</w:t>
      </w:r>
    </w:p>
    <w:p>
      <w:pPr>
        <w:pStyle w:val="40"/>
      </w:pPr>
      <w:r>
        <w:rPr>
          <w:rFonts w:hint="eastAsia"/>
          <w:lang w:val="en-US"/>
        </w:rPr>
        <w:t>关联交易情况说明</w:t>
      </w:r>
    </w:p>
    <w:p>
      <w:pPr>
        <w:ind w:firstLine="420" w:firstLineChars="200"/>
        <w:jc w:val="left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本报告期末，本产品投资的</w:t>
      </w:r>
      <w:r>
        <w:rPr>
          <w:rFonts w:hint="eastAsia" w:ascii="宋体" w:hAnsi="宋体"/>
          <w:szCs w:val="21"/>
        </w:rPr>
        <w:t>21眉天01</w:t>
      </w:r>
      <w:r>
        <w:rPr>
          <w:rFonts w:hint="eastAsia" w:ascii="宋体" w:hAnsi="宋体"/>
          <w:szCs w:val="21"/>
          <w:lang w:eastAsia="zh-CN"/>
        </w:rPr>
        <w:t>、21眉府01、21攀国投</w:t>
      </w:r>
      <w:r>
        <w:rPr>
          <w:rFonts w:hint="eastAsia" w:asciiTheme="minorEastAsia" w:hAnsiTheme="minorEastAsia" w:eastAsiaTheme="minorEastAsia"/>
          <w:szCs w:val="21"/>
        </w:rPr>
        <w:t>属于关联交易。</w:t>
      </w:r>
    </w:p>
    <w:p>
      <w:pPr>
        <w:jc w:val="left"/>
        <w:rPr>
          <w:rFonts w:asciiTheme="minorEastAsia" w:hAnsiTheme="minorEastAsia" w:eastAsiaTheme="minorEastAsia"/>
          <w:szCs w:val="21"/>
        </w:rPr>
      </w:pPr>
    </w:p>
    <w:p>
      <w:pPr>
        <w:jc w:val="right"/>
        <w:rPr>
          <w:rFonts w:ascii="宋体" w:hAnsi="宋体"/>
          <w:sz w:val="24"/>
        </w:rPr>
      </w:pPr>
    </w:p>
    <w:p>
      <w:pPr>
        <w:jc w:val="right"/>
        <w:rPr>
          <w:rFonts w:ascii="宋体" w:hAnsi="宋体"/>
          <w:sz w:val="24"/>
        </w:rPr>
      </w:pPr>
    </w:p>
    <w:p>
      <w:pPr>
        <w:jc w:val="right"/>
        <w:rPr>
          <w:rFonts w:ascii="宋体" w:hAnsi="宋体"/>
          <w:sz w:val="24"/>
        </w:rPr>
      </w:pPr>
    </w:p>
    <w:p>
      <w:pPr>
        <w:jc w:val="right"/>
        <w:rPr>
          <w:rFonts w:ascii="宋体" w:hAnsi="宋体"/>
          <w:sz w:val="24"/>
        </w:rPr>
      </w:pPr>
    </w:p>
    <w:p>
      <w:pPr>
        <w:jc w:val="right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四川银行股份有限公司</w:t>
      </w:r>
    </w:p>
    <w:p>
      <w:pPr>
        <w:jc w:val="right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2024-08-29</w:t>
      </w:r>
      <w:r>
        <w:rPr>
          <w:rFonts w:hint="eastAsia" w:ascii="宋体" w:hAnsi="宋体"/>
          <w:sz w:val="28"/>
          <w:szCs w:val="28"/>
        </w:rPr>
        <w:t xml:space="preserve">                   </w:t>
      </w:r>
    </w:p>
    <w:sectPr>
      <w:footerReference r:id="rId3" w:type="default"/>
      <w:footerReference r:id="rId4" w:type="even"/>
      <w:pgSz w:w="11906" w:h="16838"/>
      <w:pgMar w:top="1440" w:right="1531" w:bottom="1134" w:left="1531" w:header="851" w:footer="992" w:gutter="0"/>
      <w:pgNumType w:fmt="decimal" w:start="1" w:chapSep="hyphen"/>
      <w:cols w:space="720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Arial Unicode MS">
    <w:altName w:val="宋体"/>
    <w:panose1 w:val="020B0604020202020204"/>
    <w:charset w:val="86"/>
    <w:family w:val="roman"/>
    <w:pitch w:val="default"/>
    <w:sig w:usb0="00000000" w:usb1="00000000" w:usb2="0000003F" w:usb3="00000000" w:csb0="603F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framePr w:wrap="around" w:vAnchor="text" w:hAnchor="margin" w:xAlign="right" w:y="1"/>
      <w:rPr>
        <w:rStyle w:val="20"/>
      </w:rPr>
    </w:pPr>
    <w:r>
      <w:rPr>
        <w:rStyle w:val="20"/>
        <w:rFonts w:hint="eastAsia"/>
      </w:rPr>
      <w:t xml:space="preserve"> </w:t>
    </w:r>
  </w:p>
  <w:p>
    <w:pPr>
      <w:pStyle w:val="10"/>
      <w:ind w:right="108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framePr w:wrap="around" w:vAnchor="text" w:hAnchor="margin" w:xAlign="right" w:y="1"/>
      <w:rPr>
        <w:rStyle w:val="20"/>
      </w:rPr>
    </w:pPr>
    <w:r>
      <w:rPr>
        <w:rStyle w:val="20"/>
      </w:rPr>
      <w:fldChar w:fldCharType="begin"/>
    </w:r>
    <w:r>
      <w:rPr>
        <w:rStyle w:val="20"/>
      </w:rPr>
      <w:instrText xml:space="preserve">PAGE  </w:instrText>
    </w:r>
    <w:r>
      <w:rPr>
        <w:rStyle w:val="20"/>
      </w:rPr>
      <w:fldChar w:fldCharType="end"/>
    </w:r>
  </w:p>
  <w:p>
    <w:pPr>
      <w:pStyle w:val="10"/>
      <w:ind w:right="360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47D73EE"/>
    <w:multiLevelType w:val="multilevel"/>
    <w:tmpl w:val="547D73EE"/>
    <w:lvl w:ilvl="0" w:tentative="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entative="0">
      <w:start w:val="1"/>
      <w:numFmt w:val="decimal"/>
      <w:pStyle w:val="41"/>
      <w:suff w:val="space"/>
      <w:lvlText w:val="%1.%2"/>
      <w:lvlJc w:val="left"/>
      <w:pPr>
        <w:ind w:left="454" w:hanging="454"/>
      </w:pPr>
      <w:rPr>
        <w:rFonts w:hint="eastAsia"/>
      </w:rPr>
    </w:lvl>
    <w:lvl w:ilvl="2" w:tentative="0">
      <w:start w:val="1"/>
      <w:numFmt w:val="decimal"/>
      <w:pStyle w:val="42"/>
      <w:suff w:val="space"/>
      <w:lvlText w:val="%1.%2.%3"/>
      <w:lvlJc w:val="left"/>
      <w:pPr>
        <w:ind w:left="1050" w:hanging="624"/>
      </w:pPr>
      <w:rPr>
        <w:rFonts w:hint="eastAsia"/>
      </w:rPr>
    </w:lvl>
    <w:lvl w:ilvl="3" w:tentative="0">
      <w:start w:val="1"/>
      <w:numFmt w:val="decimal"/>
      <w:pStyle w:val="43"/>
      <w:suff w:val="space"/>
      <w:lvlText w:val="%1.%2.%3.%4"/>
      <w:lvlJc w:val="left"/>
      <w:pPr>
        <w:ind w:left="794" w:hanging="794"/>
      </w:pPr>
      <w:rPr>
        <w:rFonts w:hint="eastAsia"/>
      </w:rPr>
    </w:lvl>
    <w:lvl w:ilvl="4" w:tentative="0">
      <w:start w:val="1"/>
      <w:numFmt w:val="decimal"/>
      <w:pStyle w:val="44"/>
      <w:suff w:val="space"/>
      <w:lvlText w:val="%1.%2.%3.%4.%5"/>
      <w:lvlJc w:val="left"/>
      <w:pPr>
        <w:ind w:left="1021" w:hanging="1021"/>
      </w:pPr>
      <w:rPr>
        <w:rFonts w:hint="eastAsia"/>
      </w:rPr>
    </w:lvl>
    <w:lvl w:ilvl="5" w:tentative="0">
      <w:start w:val="1"/>
      <w:numFmt w:val="decimal"/>
      <w:pStyle w:val="45"/>
      <w:suff w:val="space"/>
      <w:lvlText w:val="%1.%2.%3.%4.%5.%6"/>
      <w:lvlJc w:val="left"/>
      <w:pPr>
        <w:ind w:left="1021" w:hanging="1021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1">
    <w:nsid w:val="7E1B1D2A"/>
    <w:multiLevelType w:val="multilevel"/>
    <w:tmpl w:val="7E1B1D2A"/>
    <w:lvl w:ilvl="0" w:tentative="0">
      <w:start w:val="1"/>
      <w:numFmt w:val="decimal"/>
      <w:pStyle w:val="40"/>
      <w:lvlText w:val="%1、"/>
      <w:lvlJc w:val="left"/>
      <w:pPr>
        <w:ind w:left="420" w:hanging="420"/>
      </w:pPr>
      <w:rPr>
        <w:rFonts w:hint="eastAsia"/>
        <w:spacing w:val="-20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attachedTemplate r:id="rId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1A36"/>
    <w:rsid w:val="00011E30"/>
    <w:rsid w:val="00011E76"/>
    <w:rsid w:val="000167A6"/>
    <w:rsid w:val="00017B7D"/>
    <w:rsid w:val="000224FE"/>
    <w:rsid w:val="00024803"/>
    <w:rsid w:val="00024FA2"/>
    <w:rsid w:val="00025E0C"/>
    <w:rsid w:val="0002761E"/>
    <w:rsid w:val="00027C34"/>
    <w:rsid w:val="00035197"/>
    <w:rsid w:val="00036749"/>
    <w:rsid w:val="00036CDC"/>
    <w:rsid w:val="0003799B"/>
    <w:rsid w:val="00047F36"/>
    <w:rsid w:val="00055BE3"/>
    <w:rsid w:val="0006004E"/>
    <w:rsid w:val="0006022E"/>
    <w:rsid w:val="00062D58"/>
    <w:rsid w:val="000666E4"/>
    <w:rsid w:val="000739FE"/>
    <w:rsid w:val="00074396"/>
    <w:rsid w:val="000745C5"/>
    <w:rsid w:val="00074778"/>
    <w:rsid w:val="000811DB"/>
    <w:rsid w:val="00081814"/>
    <w:rsid w:val="000825DB"/>
    <w:rsid w:val="00083139"/>
    <w:rsid w:val="00084444"/>
    <w:rsid w:val="000954BC"/>
    <w:rsid w:val="000957D7"/>
    <w:rsid w:val="00096252"/>
    <w:rsid w:val="000A0247"/>
    <w:rsid w:val="000A1C35"/>
    <w:rsid w:val="000B049B"/>
    <w:rsid w:val="000B12F7"/>
    <w:rsid w:val="000B65EC"/>
    <w:rsid w:val="000C0357"/>
    <w:rsid w:val="000C5B47"/>
    <w:rsid w:val="000D078C"/>
    <w:rsid w:val="000D4CEA"/>
    <w:rsid w:val="000D5DDE"/>
    <w:rsid w:val="000E103E"/>
    <w:rsid w:val="000E2280"/>
    <w:rsid w:val="000E5BF4"/>
    <w:rsid w:val="000E7303"/>
    <w:rsid w:val="000E7594"/>
    <w:rsid w:val="000E7EE4"/>
    <w:rsid w:val="000F1CA3"/>
    <w:rsid w:val="000F1EB8"/>
    <w:rsid w:val="000F79B4"/>
    <w:rsid w:val="00123DCF"/>
    <w:rsid w:val="001241D2"/>
    <w:rsid w:val="00127EE5"/>
    <w:rsid w:val="00130058"/>
    <w:rsid w:val="001304CE"/>
    <w:rsid w:val="00130B97"/>
    <w:rsid w:val="00131F63"/>
    <w:rsid w:val="001321D3"/>
    <w:rsid w:val="001367E6"/>
    <w:rsid w:val="0013763A"/>
    <w:rsid w:val="00137F13"/>
    <w:rsid w:val="00142BF7"/>
    <w:rsid w:val="001438D5"/>
    <w:rsid w:val="001505C2"/>
    <w:rsid w:val="0015110C"/>
    <w:rsid w:val="0015418C"/>
    <w:rsid w:val="001546E3"/>
    <w:rsid w:val="00156CE7"/>
    <w:rsid w:val="001634F8"/>
    <w:rsid w:val="00172A27"/>
    <w:rsid w:val="00175535"/>
    <w:rsid w:val="0019201F"/>
    <w:rsid w:val="00196688"/>
    <w:rsid w:val="001A6A60"/>
    <w:rsid w:val="001A6DCE"/>
    <w:rsid w:val="001B0D81"/>
    <w:rsid w:val="001B2258"/>
    <w:rsid w:val="001B3575"/>
    <w:rsid w:val="001B43F0"/>
    <w:rsid w:val="001C4ACD"/>
    <w:rsid w:val="001C5999"/>
    <w:rsid w:val="001D364E"/>
    <w:rsid w:val="001E1A37"/>
    <w:rsid w:val="001E27AF"/>
    <w:rsid w:val="001E2A08"/>
    <w:rsid w:val="001E4B7A"/>
    <w:rsid w:val="001E7354"/>
    <w:rsid w:val="001E7E3E"/>
    <w:rsid w:val="001F28F0"/>
    <w:rsid w:val="001F4ADC"/>
    <w:rsid w:val="001F5BAE"/>
    <w:rsid w:val="001F7D68"/>
    <w:rsid w:val="00203F6A"/>
    <w:rsid w:val="00210223"/>
    <w:rsid w:val="0021036E"/>
    <w:rsid w:val="00212735"/>
    <w:rsid w:val="00212AC6"/>
    <w:rsid w:val="00217B81"/>
    <w:rsid w:val="00222DFB"/>
    <w:rsid w:val="00226962"/>
    <w:rsid w:val="00226D1D"/>
    <w:rsid w:val="00227C89"/>
    <w:rsid w:val="0024340D"/>
    <w:rsid w:val="00246E06"/>
    <w:rsid w:val="002520E6"/>
    <w:rsid w:val="00254241"/>
    <w:rsid w:val="002543ED"/>
    <w:rsid w:val="002550F8"/>
    <w:rsid w:val="00256F99"/>
    <w:rsid w:val="00261703"/>
    <w:rsid w:val="00265F21"/>
    <w:rsid w:val="002709E9"/>
    <w:rsid w:val="00285198"/>
    <w:rsid w:val="0028673C"/>
    <w:rsid w:val="00291837"/>
    <w:rsid w:val="00293CED"/>
    <w:rsid w:val="002A1060"/>
    <w:rsid w:val="002A6967"/>
    <w:rsid w:val="002B18D0"/>
    <w:rsid w:val="002B1BF7"/>
    <w:rsid w:val="002B2425"/>
    <w:rsid w:val="002B5C75"/>
    <w:rsid w:val="002B6AB0"/>
    <w:rsid w:val="002B6D92"/>
    <w:rsid w:val="002C0D52"/>
    <w:rsid w:val="002D3143"/>
    <w:rsid w:val="002D50E0"/>
    <w:rsid w:val="002D70F8"/>
    <w:rsid w:val="002E15C2"/>
    <w:rsid w:val="002E2A8D"/>
    <w:rsid w:val="002E366D"/>
    <w:rsid w:val="002E37D7"/>
    <w:rsid w:val="002E6930"/>
    <w:rsid w:val="002F1904"/>
    <w:rsid w:val="002F1EBF"/>
    <w:rsid w:val="002F244E"/>
    <w:rsid w:val="002F2A39"/>
    <w:rsid w:val="002F73B7"/>
    <w:rsid w:val="003017B8"/>
    <w:rsid w:val="00302E0B"/>
    <w:rsid w:val="0030728E"/>
    <w:rsid w:val="003170E3"/>
    <w:rsid w:val="003217E4"/>
    <w:rsid w:val="003245FC"/>
    <w:rsid w:val="003350C8"/>
    <w:rsid w:val="00336953"/>
    <w:rsid w:val="0034174F"/>
    <w:rsid w:val="00347E59"/>
    <w:rsid w:val="0035009E"/>
    <w:rsid w:val="00351099"/>
    <w:rsid w:val="00352670"/>
    <w:rsid w:val="0035379B"/>
    <w:rsid w:val="003545C4"/>
    <w:rsid w:val="00354AB0"/>
    <w:rsid w:val="00355F58"/>
    <w:rsid w:val="00362921"/>
    <w:rsid w:val="003629D6"/>
    <w:rsid w:val="0036621F"/>
    <w:rsid w:val="00370236"/>
    <w:rsid w:val="00370D1C"/>
    <w:rsid w:val="0037107A"/>
    <w:rsid w:val="0037163C"/>
    <w:rsid w:val="00372961"/>
    <w:rsid w:val="00373861"/>
    <w:rsid w:val="0037574C"/>
    <w:rsid w:val="00380B72"/>
    <w:rsid w:val="00386B5A"/>
    <w:rsid w:val="00391B1F"/>
    <w:rsid w:val="00392524"/>
    <w:rsid w:val="0039364C"/>
    <w:rsid w:val="00394EF9"/>
    <w:rsid w:val="00397112"/>
    <w:rsid w:val="00397200"/>
    <w:rsid w:val="003A0970"/>
    <w:rsid w:val="003A7C09"/>
    <w:rsid w:val="003B436D"/>
    <w:rsid w:val="003B7836"/>
    <w:rsid w:val="003C0A61"/>
    <w:rsid w:val="003C24AD"/>
    <w:rsid w:val="003C5071"/>
    <w:rsid w:val="003D0E86"/>
    <w:rsid w:val="003D15A3"/>
    <w:rsid w:val="003D39AE"/>
    <w:rsid w:val="003D4200"/>
    <w:rsid w:val="003D7D84"/>
    <w:rsid w:val="003E15D9"/>
    <w:rsid w:val="003E460E"/>
    <w:rsid w:val="003E7218"/>
    <w:rsid w:val="0040013A"/>
    <w:rsid w:val="0040127C"/>
    <w:rsid w:val="00415C27"/>
    <w:rsid w:val="004169FD"/>
    <w:rsid w:val="00420876"/>
    <w:rsid w:val="0042283D"/>
    <w:rsid w:val="004332EF"/>
    <w:rsid w:val="004405BC"/>
    <w:rsid w:val="0044179E"/>
    <w:rsid w:val="004422DD"/>
    <w:rsid w:val="00442C23"/>
    <w:rsid w:val="00442E16"/>
    <w:rsid w:val="0044354B"/>
    <w:rsid w:val="00444430"/>
    <w:rsid w:val="00445B1D"/>
    <w:rsid w:val="00445B84"/>
    <w:rsid w:val="00445B9F"/>
    <w:rsid w:val="00450537"/>
    <w:rsid w:val="00451D7B"/>
    <w:rsid w:val="0045697B"/>
    <w:rsid w:val="00457E70"/>
    <w:rsid w:val="0046347F"/>
    <w:rsid w:val="0046369D"/>
    <w:rsid w:val="00464A4B"/>
    <w:rsid w:val="00465827"/>
    <w:rsid w:val="00466631"/>
    <w:rsid w:val="00467018"/>
    <w:rsid w:val="0047019A"/>
    <w:rsid w:val="00475C49"/>
    <w:rsid w:val="00477FEC"/>
    <w:rsid w:val="00482F15"/>
    <w:rsid w:val="004864F2"/>
    <w:rsid w:val="00487E77"/>
    <w:rsid w:val="004925AF"/>
    <w:rsid w:val="00493D46"/>
    <w:rsid w:val="004976C7"/>
    <w:rsid w:val="00497AFF"/>
    <w:rsid w:val="004B6EF6"/>
    <w:rsid w:val="004C126D"/>
    <w:rsid w:val="004C2C74"/>
    <w:rsid w:val="004C439A"/>
    <w:rsid w:val="004C56A8"/>
    <w:rsid w:val="004C689C"/>
    <w:rsid w:val="004D2B6B"/>
    <w:rsid w:val="004D2D2A"/>
    <w:rsid w:val="004E2CFE"/>
    <w:rsid w:val="004E344E"/>
    <w:rsid w:val="004E4E80"/>
    <w:rsid w:val="004E53DD"/>
    <w:rsid w:val="004F50D0"/>
    <w:rsid w:val="004F55AB"/>
    <w:rsid w:val="004F5803"/>
    <w:rsid w:val="004F64A1"/>
    <w:rsid w:val="00500777"/>
    <w:rsid w:val="00501D92"/>
    <w:rsid w:val="00503B75"/>
    <w:rsid w:val="005066A6"/>
    <w:rsid w:val="00511DB9"/>
    <w:rsid w:val="00513688"/>
    <w:rsid w:val="00513763"/>
    <w:rsid w:val="00524F71"/>
    <w:rsid w:val="00527A49"/>
    <w:rsid w:val="005310A6"/>
    <w:rsid w:val="0053595B"/>
    <w:rsid w:val="00537901"/>
    <w:rsid w:val="00540DE6"/>
    <w:rsid w:val="00542A91"/>
    <w:rsid w:val="0054387B"/>
    <w:rsid w:val="005465B6"/>
    <w:rsid w:val="00554065"/>
    <w:rsid w:val="00555D8D"/>
    <w:rsid w:val="00560EAF"/>
    <w:rsid w:val="00572059"/>
    <w:rsid w:val="00573E83"/>
    <w:rsid w:val="005775FA"/>
    <w:rsid w:val="00583550"/>
    <w:rsid w:val="00591622"/>
    <w:rsid w:val="005947ED"/>
    <w:rsid w:val="00596277"/>
    <w:rsid w:val="005B6C71"/>
    <w:rsid w:val="005C208D"/>
    <w:rsid w:val="005C6300"/>
    <w:rsid w:val="005D0C97"/>
    <w:rsid w:val="005D2052"/>
    <w:rsid w:val="005D22EB"/>
    <w:rsid w:val="005D3D05"/>
    <w:rsid w:val="005E1666"/>
    <w:rsid w:val="005E1A2D"/>
    <w:rsid w:val="005E31BD"/>
    <w:rsid w:val="005E3ECA"/>
    <w:rsid w:val="005E4AD5"/>
    <w:rsid w:val="005E5183"/>
    <w:rsid w:val="005F4FA6"/>
    <w:rsid w:val="005F6FF9"/>
    <w:rsid w:val="005F71F6"/>
    <w:rsid w:val="00600E89"/>
    <w:rsid w:val="00603880"/>
    <w:rsid w:val="00603FEA"/>
    <w:rsid w:val="00604956"/>
    <w:rsid w:val="006108E0"/>
    <w:rsid w:val="00612615"/>
    <w:rsid w:val="00612ABC"/>
    <w:rsid w:val="00620EA2"/>
    <w:rsid w:val="00625E1C"/>
    <w:rsid w:val="00632039"/>
    <w:rsid w:val="00641758"/>
    <w:rsid w:val="00643676"/>
    <w:rsid w:val="006436D6"/>
    <w:rsid w:val="006458E3"/>
    <w:rsid w:val="006464AD"/>
    <w:rsid w:val="00647545"/>
    <w:rsid w:val="00647AB1"/>
    <w:rsid w:val="00655059"/>
    <w:rsid w:val="00660553"/>
    <w:rsid w:val="00663245"/>
    <w:rsid w:val="00663DE1"/>
    <w:rsid w:val="00664C86"/>
    <w:rsid w:val="00665902"/>
    <w:rsid w:val="006664D5"/>
    <w:rsid w:val="00667447"/>
    <w:rsid w:val="0067267E"/>
    <w:rsid w:val="00675178"/>
    <w:rsid w:val="006761C2"/>
    <w:rsid w:val="006771FF"/>
    <w:rsid w:val="00682943"/>
    <w:rsid w:val="00683D3B"/>
    <w:rsid w:val="006876F4"/>
    <w:rsid w:val="00692A30"/>
    <w:rsid w:val="00693EF1"/>
    <w:rsid w:val="00697DB7"/>
    <w:rsid w:val="006A307A"/>
    <w:rsid w:val="006B0B91"/>
    <w:rsid w:val="006B24E7"/>
    <w:rsid w:val="006B554E"/>
    <w:rsid w:val="006B5B87"/>
    <w:rsid w:val="006C21A8"/>
    <w:rsid w:val="006C49D3"/>
    <w:rsid w:val="006C742E"/>
    <w:rsid w:val="006D78DE"/>
    <w:rsid w:val="006E2B12"/>
    <w:rsid w:val="006E3BE7"/>
    <w:rsid w:val="006E5986"/>
    <w:rsid w:val="006E5F79"/>
    <w:rsid w:val="006E6073"/>
    <w:rsid w:val="006E7D51"/>
    <w:rsid w:val="006F01F5"/>
    <w:rsid w:val="006F05AC"/>
    <w:rsid w:val="006F1E99"/>
    <w:rsid w:val="006F26FB"/>
    <w:rsid w:val="006F2A9A"/>
    <w:rsid w:val="006F33DF"/>
    <w:rsid w:val="00710F9C"/>
    <w:rsid w:val="00711860"/>
    <w:rsid w:val="00714D1B"/>
    <w:rsid w:val="00717029"/>
    <w:rsid w:val="00720312"/>
    <w:rsid w:val="0072202C"/>
    <w:rsid w:val="0072288E"/>
    <w:rsid w:val="00730BF8"/>
    <w:rsid w:val="007313AE"/>
    <w:rsid w:val="0073667E"/>
    <w:rsid w:val="00740012"/>
    <w:rsid w:val="00741F34"/>
    <w:rsid w:val="00745B3A"/>
    <w:rsid w:val="0074780F"/>
    <w:rsid w:val="007502BB"/>
    <w:rsid w:val="007520B7"/>
    <w:rsid w:val="00752D2E"/>
    <w:rsid w:val="007539EE"/>
    <w:rsid w:val="00756CFF"/>
    <w:rsid w:val="00762F4A"/>
    <w:rsid w:val="007633CA"/>
    <w:rsid w:val="007663F0"/>
    <w:rsid w:val="00774DB3"/>
    <w:rsid w:val="00777511"/>
    <w:rsid w:val="00782BD3"/>
    <w:rsid w:val="00783A2D"/>
    <w:rsid w:val="0078701B"/>
    <w:rsid w:val="0079003D"/>
    <w:rsid w:val="00790F54"/>
    <w:rsid w:val="0079349C"/>
    <w:rsid w:val="007957D3"/>
    <w:rsid w:val="007A41FE"/>
    <w:rsid w:val="007A4FF1"/>
    <w:rsid w:val="007A5C4C"/>
    <w:rsid w:val="007A6008"/>
    <w:rsid w:val="007A66E8"/>
    <w:rsid w:val="007A67A8"/>
    <w:rsid w:val="007A6D6E"/>
    <w:rsid w:val="007C00B5"/>
    <w:rsid w:val="007C271F"/>
    <w:rsid w:val="007D4695"/>
    <w:rsid w:val="007D5F69"/>
    <w:rsid w:val="007D7D2D"/>
    <w:rsid w:val="007E24A8"/>
    <w:rsid w:val="007E6BBB"/>
    <w:rsid w:val="007F261A"/>
    <w:rsid w:val="007F4389"/>
    <w:rsid w:val="00805841"/>
    <w:rsid w:val="008067E9"/>
    <w:rsid w:val="008138C2"/>
    <w:rsid w:val="008207FC"/>
    <w:rsid w:val="00824A1A"/>
    <w:rsid w:val="0082723D"/>
    <w:rsid w:val="00830FB1"/>
    <w:rsid w:val="008318D4"/>
    <w:rsid w:val="00835C56"/>
    <w:rsid w:val="00835F60"/>
    <w:rsid w:val="0083628C"/>
    <w:rsid w:val="00840509"/>
    <w:rsid w:val="00840E2A"/>
    <w:rsid w:val="00841B85"/>
    <w:rsid w:val="0084484A"/>
    <w:rsid w:val="00845EAD"/>
    <w:rsid w:val="008509BD"/>
    <w:rsid w:val="008518FE"/>
    <w:rsid w:val="008631C4"/>
    <w:rsid w:val="00863246"/>
    <w:rsid w:val="008647E2"/>
    <w:rsid w:val="00865A3B"/>
    <w:rsid w:val="00867C1C"/>
    <w:rsid w:val="0087458E"/>
    <w:rsid w:val="00874F4C"/>
    <w:rsid w:val="00877005"/>
    <w:rsid w:val="0088112D"/>
    <w:rsid w:val="0088245D"/>
    <w:rsid w:val="00886D81"/>
    <w:rsid w:val="00893B6A"/>
    <w:rsid w:val="008A0C31"/>
    <w:rsid w:val="008A1EE5"/>
    <w:rsid w:val="008A2F62"/>
    <w:rsid w:val="008B10B5"/>
    <w:rsid w:val="008B3EC8"/>
    <w:rsid w:val="008B6C92"/>
    <w:rsid w:val="008B7CE7"/>
    <w:rsid w:val="008C3A26"/>
    <w:rsid w:val="008C42A4"/>
    <w:rsid w:val="008C53F1"/>
    <w:rsid w:val="008C5FF0"/>
    <w:rsid w:val="008D1AF9"/>
    <w:rsid w:val="008D2226"/>
    <w:rsid w:val="008E4405"/>
    <w:rsid w:val="008E4839"/>
    <w:rsid w:val="008E5D81"/>
    <w:rsid w:val="008E656C"/>
    <w:rsid w:val="008E704C"/>
    <w:rsid w:val="008F39A1"/>
    <w:rsid w:val="00902772"/>
    <w:rsid w:val="00903665"/>
    <w:rsid w:val="0090419E"/>
    <w:rsid w:val="00904C28"/>
    <w:rsid w:val="009053AC"/>
    <w:rsid w:val="00910979"/>
    <w:rsid w:val="00913FA1"/>
    <w:rsid w:val="00916263"/>
    <w:rsid w:val="00916B1E"/>
    <w:rsid w:val="00916CF7"/>
    <w:rsid w:val="00916F72"/>
    <w:rsid w:val="009200D9"/>
    <w:rsid w:val="00924290"/>
    <w:rsid w:val="0093136C"/>
    <w:rsid w:val="009361E0"/>
    <w:rsid w:val="00940851"/>
    <w:rsid w:val="00950E79"/>
    <w:rsid w:val="00953DC8"/>
    <w:rsid w:val="009541DC"/>
    <w:rsid w:val="00954DED"/>
    <w:rsid w:val="00957FBC"/>
    <w:rsid w:val="0096288A"/>
    <w:rsid w:val="0096360D"/>
    <w:rsid w:val="00963665"/>
    <w:rsid w:val="009647CE"/>
    <w:rsid w:val="00964DCE"/>
    <w:rsid w:val="009661C0"/>
    <w:rsid w:val="009713B5"/>
    <w:rsid w:val="0097695A"/>
    <w:rsid w:val="00982515"/>
    <w:rsid w:val="00985C6F"/>
    <w:rsid w:val="00987DA5"/>
    <w:rsid w:val="00996119"/>
    <w:rsid w:val="009A10CD"/>
    <w:rsid w:val="009B1BE6"/>
    <w:rsid w:val="009B2215"/>
    <w:rsid w:val="009B3F2A"/>
    <w:rsid w:val="009B493D"/>
    <w:rsid w:val="009B6017"/>
    <w:rsid w:val="009B77A4"/>
    <w:rsid w:val="009B7B34"/>
    <w:rsid w:val="009C02EB"/>
    <w:rsid w:val="009C263C"/>
    <w:rsid w:val="009C760C"/>
    <w:rsid w:val="009D22C9"/>
    <w:rsid w:val="009D59B1"/>
    <w:rsid w:val="009D6E38"/>
    <w:rsid w:val="009D7F30"/>
    <w:rsid w:val="009E7949"/>
    <w:rsid w:val="009F1173"/>
    <w:rsid w:val="009F2CE7"/>
    <w:rsid w:val="009F6300"/>
    <w:rsid w:val="00A03DAA"/>
    <w:rsid w:val="00A053A7"/>
    <w:rsid w:val="00A07072"/>
    <w:rsid w:val="00A1398C"/>
    <w:rsid w:val="00A16209"/>
    <w:rsid w:val="00A179D8"/>
    <w:rsid w:val="00A17F78"/>
    <w:rsid w:val="00A217B1"/>
    <w:rsid w:val="00A226D6"/>
    <w:rsid w:val="00A326C7"/>
    <w:rsid w:val="00A34E4F"/>
    <w:rsid w:val="00A36005"/>
    <w:rsid w:val="00A36F6E"/>
    <w:rsid w:val="00A40FDD"/>
    <w:rsid w:val="00A43B1A"/>
    <w:rsid w:val="00A476E2"/>
    <w:rsid w:val="00A52E27"/>
    <w:rsid w:val="00A66B88"/>
    <w:rsid w:val="00A7059A"/>
    <w:rsid w:val="00A73CCB"/>
    <w:rsid w:val="00A754BF"/>
    <w:rsid w:val="00A80900"/>
    <w:rsid w:val="00A9256F"/>
    <w:rsid w:val="00A94073"/>
    <w:rsid w:val="00A95724"/>
    <w:rsid w:val="00A97609"/>
    <w:rsid w:val="00AA0964"/>
    <w:rsid w:val="00AA0D73"/>
    <w:rsid w:val="00AB0553"/>
    <w:rsid w:val="00AB7F1E"/>
    <w:rsid w:val="00AC0253"/>
    <w:rsid w:val="00AC760B"/>
    <w:rsid w:val="00AD0E90"/>
    <w:rsid w:val="00AD267E"/>
    <w:rsid w:val="00AD5950"/>
    <w:rsid w:val="00AE7B09"/>
    <w:rsid w:val="00AF4B02"/>
    <w:rsid w:val="00AF5C38"/>
    <w:rsid w:val="00B01D6A"/>
    <w:rsid w:val="00B0308C"/>
    <w:rsid w:val="00B10E20"/>
    <w:rsid w:val="00B13755"/>
    <w:rsid w:val="00B14EDA"/>
    <w:rsid w:val="00B15B26"/>
    <w:rsid w:val="00B15EA7"/>
    <w:rsid w:val="00B218BF"/>
    <w:rsid w:val="00B27FD9"/>
    <w:rsid w:val="00B30A58"/>
    <w:rsid w:val="00B33E1B"/>
    <w:rsid w:val="00B35FBA"/>
    <w:rsid w:val="00B35FD4"/>
    <w:rsid w:val="00B40022"/>
    <w:rsid w:val="00B40969"/>
    <w:rsid w:val="00B4789A"/>
    <w:rsid w:val="00B51B53"/>
    <w:rsid w:val="00B527C6"/>
    <w:rsid w:val="00B63983"/>
    <w:rsid w:val="00B66459"/>
    <w:rsid w:val="00B7027A"/>
    <w:rsid w:val="00B719FD"/>
    <w:rsid w:val="00B71B7E"/>
    <w:rsid w:val="00B73D60"/>
    <w:rsid w:val="00B7675B"/>
    <w:rsid w:val="00B80918"/>
    <w:rsid w:val="00B81709"/>
    <w:rsid w:val="00B82529"/>
    <w:rsid w:val="00B91227"/>
    <w:rsid w:val="00B94D4D"/>
    <w:rsid w:val="00B9576A"/>
    <w:rsid w:val="00B959E0"/>
    <w:rsid w:val="00B9605D"/>
    <w:rsid w:val="00B96F7F"/>
    <w:rsid w:val="00BA2FE9"/>
    <w:rsid w:val="00BB2C8E"/>
    <w:rsid w:val="00BB3836"/>
    <w:rsid w:val="00BC6F6D"/>
    <w:rsid w:val="00BC79AA"/>
    <w:rsid w:val="00BC7BE2"/>
    <w:rsid w:val="00BD01DA"/>
    <w:rsid w:val="00BD1DC0"/>
    <w:rsid w:val="00BE1D4B"/>
    <w:rsid w:val="00BE2BF0"/>
    <w:rsid w:val="00BE491C"/>
    <w:rsid w:val="00BE4F1C"/>
    <w:rsid w:val="00BE6F0A"/>
    <w:rsid w:val="00BE7278"/>
    <w:rsid w:val="00BF2E9E"/>
    <w:rsid w:val="00BF5021"/>
    <w:rsid w:val="00BF6960"/>
    <w:rsid w:val="00C00573"/>
    <w:rsid w:val="00C01D6D"/>
    <w:rsid w:val="00C0394B"/>
    <w:rsid w:val="00C101D8"/>
    <w:rsid w:val="00C15724"/>
    <w:rsid w:val="00C16678"/>
    <w:rsid w:val="00C21599"/>
    <w:rsid w:val="00C244B2"/>
    <w:rsid w:val="00C30868"/>
    <w:rsid w:val="00C41372"/>
    <w:rsid w:val="00C41FD7"/>
    <w:rsid w:val="00C6082A"/>
    <w:rsid w:val="00C61509"/>
    <w:rsid w:val="00C62C53"/>
    <w:rsid w:val="00C64768"/>
    <w:rsid w:val="00C71158"/>
    <w:rsid w:val="00C71A97"/>
    <w:rsid w:val="00C736F6"/>
    <w:rsid w:val="00C81FCB"/>
    <w:rsid w:val="00C829CC"/>
    <w:rsid w:val="00C91212"/>
    <w:rsid w:val="00C92BC1"/>
    <w:rsid w:val="00C96435"/>
    <w:rsid w:val="00CA25E8"/>
    <w:rsid w:val="00CA2731"/>
    <w:rsid w:val="00CA4BB0"/>
    <w:rsid w:val="00CA7053"/>
    <w:rsid w:val="00CB4172"/>
    <w:rsid w:val="00CB57AB"/>
    <w:rsid w:val="00CB6D1B"/>
    <w:rsid w:val="00CC2A43"/>
    <w:rsid w:val="00CC36AC"/>
    <w:rsid w:val="00CC5AAE"/>
    <w:rsid w:val="00CC7CB2"/>
    <w:rsid w:val="00CD017B"/>
    <w:rsid w:val="00CD0859"/>
    <w:rsid w:val="00CD2493"/>
    <w:rsid w:val="00CD55EC"/>
    <w:rsid w:val="00CE36B7"/>
    <w:rsid w:val="00CE41F5"/>
    <w:rsid w:val="00CE4391"/>
    <w:rsid w:val="00CF0D9C"/>
    <w:rsid w:val="00CF2FB6"/>
    <w:rsid w:val="00CF4250"/>
    <w:rsid w:val="00CF49DA"/>
    <w:rsid w:val="00CF5AE8"/>
    <w:rsid w:val="00CF67B5"/>
    <w:rsid w:val="00CF67E8"/>
    <w:rsid w:val="00CF7C5F"/>
    <w:rsid w:val="00D02236"/>
    <w:rsid w:val="00D046D2"/>
    <w:rsid w:val="00D06468"/>
    <w:rsid w:val="00D1017D"/>
    <w:rsid w:val="00D11282"/>
    <w:rsid w:val="00D11D55"/>
    <w:rsid w:val="00D14569"/>
    <w:rsid w:val="00D15B0F"/>
    <w:rsid w:val="00D25096"/>
    <w:rsid w:val="00D2614B"/>
    <w:rsid w:val="00D3035E"/>
    <w:rsid w:val="00D30B4B"/>
    <w:rsid w:val="00D31FD3"/>
    <w:rsid w:val="00D3496C"/>
    <w:rsid w:val="00D3643E"/>
    <w:rsid w:val="00D40841"/>
    <w:rsid w:val="00D411DB"/>
    <w:rsid w:val="00D452EA"/>
    <w:rsid w:val="00D57ABE"/>
    <w:rsid w:val="00D60D0A"/>
    <w:rsid w:val="00D63034"/>
    <w:rsid w:val="00D664DF"/>
    <w:rsid w:val="00D72C48"/>
    <w:rsid w:val="00D7572D"/>
    <w:rsid w:val="00D76EC7"/>
    <w:rsid w:val="00D806F7"/>
    <w:rsid w:val="00D90E8B"/>
    <w:rsid w:val="00D964B6"/>
    <w:rsid w:val="00DA06CF"/>
    <w:rsid w:val="00DA2107"/>
    <w:rsid w:val="00DA482F"/>
    <w:rsid w:val="00DA4F8D"/>
    <w:rsid w:val="00DA567B"/>
    <w:rsid w:val="00DA700A"/>
    <w:rsid w:val="00DB10DE"/>
    <w:rsid w:val="00DC0BCD"/>
    <w:rsid w:val="00DC63EA"/>
    <w:rsid w:val="00DC7755"/>
    <w:rsid w:val="00DD0776"/>
    <w:rsid w:val="00DD2D10"/>
    <w:rsid w:val="00DD493A"/>
    <w:rsid w:val="00DE0BA7"/>
    <w:rsid w:val="00DF1B60"/>
    <w:rsid w:val="00DF64FE"/>
    <w:rsid w:val="00DF70DD"/>
    <w:rsid w:val="00E05CBD"/>
    <w:rsid w:val="00E133C1"/>
    <w:rsid w:val="00E13A22"/>
    <w:rsid w:val="00E22023"/>
    <w:rsid w:val="00E24F6C"/>
    <w:rsid w:val="00E25FBD"/>
    <w:rsid w:val="00E27C54"/>
    <w:rsid w:val="00E33DFC"/>
    <w:rsid w:val="00E36DC0"/>
    <w:rsid w:val="00E40C11"/>
    <w:rsid w:val="00E504F9"/>
    <w:rsid w:val="00E5307C"/>
    <w:rsid w:val="00E5314E"/>
    <w:rsid w:val="00E538A2"/>
    <w:rsid w:val="00E65FF2"/>
    <w:rsid w:val="00E67113"/>
    <w:rsid w:val="00E67390"/>
    <w:rsid w:val="00E732A5"/>
    <w:rsid w:val="00E757CD"/>
    <w:rsid w:val="00E76293"/>
    <w:rsid w:val="00E773EF"/>
    <w:rsid w:val="00E841D0"/>
    <w:rsid w:val="00E84CB6"/>
    <w:rsid w:val="00E8759A"/>
    <w:rsid w:val="00E915A7"/>
    <w:rsid w:val="00E9363B"/>
    <w:rsid w:val="00E966EE"/>
    <w:rsid w:val="00EA0D8E"/>
    <w:rsid w:val="00EA4ECB"/>
    <w:rsid w:val="00EA78F0"/>
    <w:rsid w:val="00EB0365"/>
    <w:rsid w:val="00EB1D83"/>
    <w:rsid w:val="00EB210F"/>
    <w:rsid w:val="00EB3AB1"/>
    <w:rsid w:val="00EC2261"/>
    <w:rsid w:val="00ED09EC"/>
    <w:rsid w:val="00ED2B43"/>
    <w:rsid w:val="00EE161E"/>
    <w:rsid w:val="00EE26EB"/>
    <w:rsid w:val="00EE2B73"/>
    <w:rsid w:val="00EF0326"/>
    <w:rsid w:val="00EF0F0F"/>
    <w:rsid w:val="00EF712F"/>
    <w:rsid w:val="00F0048F"/>
    <w:rsid w:val="00F01F55"/>
    <w:rsid w:val="00F141A9"/>
    <w:rsid w:val="00F1772D"/>
    <w:rsid w:val="00F22C55"/>
    <w:rsid w:val="00F270CF"/>
    <w:rsid w:val="00F301E8"/>
    <w:rsid w:val="00F323E3"/>
    <w:rsid w:val="00F34D29"/>
    <w:rsid w:val="00F35C2C"/>
    <w:rsid w:val="00F36C13"/>
    <w:rsid w:val="00F44F0C"/>
    <w:rsid w:val="00F45974"/>
    <w:rsid w:val="00F45EFD"/>
    <w:rsid w:val="00F51B8A"/>
    <w:rsid w:val="00F53A4B"/>
    <w:rsid w:val="00F64D16"/>
    <w:rsid w:val="00F65B50"/>
    <w:rsid w:val="00F66D00"/>
    <w:rsid w:val="00F67B3D"/>
    <w:rsid w:val="00F733D2"/>
    <w:rsid w:val="00F87CF1"/>
    <w:rsid w:val="00F906DF"/>
    <w:rsid w:val="00F934DE"/>
    <w:rsid w:val="00F941F7"/>
    <w:rsid w:val="00F95832"/>
    <w:rsid w:val="00F9693E"/>
    <w:rsid w:val="00F973AF"/>
    <w:rsid w:val="00F9745A"/>
    <w:rsid w:val="00FA5CE9"/>
    <w:rsid w:val="00FA6695"/>
    <w:rsid w:val="00FA794C"/>
    <w:rsid w:val="00FB1C77"/>
    <w:rsid w:val="00FB3F6A"/>
    <w:rsid w:val="00FD2905"/>
    <w:rsid w:val="00FE1CEA"/>
    <w:rsid w:val="00FE3C8E"/>
    <w:rsid w:val="00FE3E86"/>
    <w:rsid w:val="00FE4490"/>
    <w:rsid w:val="00FE51F2"/>
    <w:rsid w:val="00FE52AD"/>
    <w:rsid w:val="00FE5547"/>
    <w:rsid w:val="00FF15E9"/>
    <w:rsid w:val="00FF6973"/>
    <w:rsid w:val="04034F27"/>
    <w:rsid w:val="07064827"/>
    <w:rsid w:val="134C76E8"/>
    <w:rsid w:val="23AB2840"/>
    <w:rsid w:val="2FC23DC4"/>
    <w:rsid w:val="339E2F39"/>
    <w:rsid w:val="38A16717"/>
    <w:rsid w:val="46A87316"/>
    <w:rsid w:val="46B37CC7"/>
    <w:rsid w:val="512D246A"/>
    <w:rsid w:val="54B27197"/>
    <w:rsid w:val="577A4D6C"/>
    <w:rsid w:val="5A9E6B68"/>
    <w:rsid w:val="711A5D85"/>
    <w:rsid w:val="77BE3153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qFormat="1" w:unhideWhenUsed="0" w:uiPriority="0" w:semiHidden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iPriority="22" w:name="Strong"/>
    <w:lsdException w:qFormat="1" w:uiPriority="20" w:name="Emphasis"/>
    <w:lsdException w:qFormat="1" w:unhideWhenUsed="0" w:uiPriority="0" w:semiHidden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link w:val="26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  <w:lang w:val="zh-CN" w:eastAsia="zh-CN"/>
    </w:rPr>
  </w:style>
  <w:style w:type="paragraph" w:styleId="3">
    <w:name w:val="heading 2"/>
    <w:basedOn w:val="1"/>
    <w:next w:val="1"/>
    <w:link w:val="27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kern w:val="0"/>
      <w:sz w:val="32"/>
      <w:szCs w:val="32"/>
      <w:lang w:val="zh-CN" w:eastAsia="zh-CN"/>
    </w:rPr>
  </w:style>
  <w:style w:type="paragraph" w:styleId="4">
    <w:name w:val="heading 3"/>
    <w:basedOn w:val="1"/>
    <w:next w:val="1"/>
    <w:link w:val="23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kern w:val="0"/>
      <w:sz w:val="32"/>
      <w:szCs w:val="32"/>
      <w:lang w:val="zh-CN" w:eastAsia="zh-CN"/>
    </w:rPr>
  </w:style>
  <w:style w:type="paragraph" w:styleId="5">
    <w:name w:val="heading 4"/>
    <w:basedOn w:val="1"/>
    <w:next w:val="1"/>
    <w:link w:val="33"/>
    <w:semiHidden/>
    <w:unhideWhenUsed/>
    <w:qFormat/>
    <w:uiPriority w:val="0"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kern w:val="0"/>
      <w:sz w:val="28"/>
      <w:szCs w:val="28"/>
      <w:lang w:val="zh-CN" w:eastAsia="zh-CN"/>
    </w:rPr>
  </w:style>
  <w:style w:type="character" w:default="1" w:styleId="19">
    <w:name w:val="Default Paragraph Font"/>
    <w:semiHidden/>
    <w:unhideWhenUsed/>
    <w:qFormat/>
    <w:uiPriority w:val="1"/>
  </w:style>
  <w:style w:type="table" w:default="1" w:styleId="1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Document Map"/>
    <w:basedOn w:val="1"/>
    <w:qFormat/>
    <w:uiPriority w:val="0"/>
    <w:pPr>
      <w:shd w:val="clear" w:color="auto" w:fill="000080"/>
    </w:pPr>
  </w:style>
  <w:style w:type="paragraph" w:styleId="7">
    <w:name w:val="annotation text"/>
    <w:basedOn w:val="1"/>
    <w:qFormat/>
    <w:uiPriority w:val="0"/>
    <w:pPr>
      <w:jc w:val="left"/>
    </w:pPr>
  </w:style>
  <w:style w:type="paragraph" w:styleId="8">
    <w:name w:val="Date"/>
    <w:basedOn w:val="1"/>
    <w:next w:val="1"/>
    <w:link w:val="48"/>
    <w:qFormat/>
    <w:uiPriority w:val="0"/>
    <w:rPr>
      <w:rFonts w:ascii="宋体"/>
      <w:sz w:val="32"/>
      <w:lang w:val="zh-CN" w:eastAsia="zh-CN"/>
    </w:rPr>
  </w:style>
  <w:style w:type="paragraph" w:styleId="9">
    <w:name w:val="Balloon Text"/>
    <w:basedOn w:val="1"/>
    <w:qFormat/>
    <w:uiPriority w:val="0"/>
    <w:rPr>
      <w:sz w:val="18"/>
      <w:szCs w:val="18"/>
    </w:rPr>
  </w:style>
  <w:style w:type="paragraph" w:styleId="10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1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2">
    <w:name w:val="Subtitle"/>
    <w:basedOn w:val="3"/>
    <w:next w:val="4"/>
    <w:link w:val="25"/>
    <w:qFormat/>
    <w:uiPriority w:val="0"/>
    <w:pPr>
      <w:spacing w:before="240" w:after="60" w:line="312" w:lineRule="auto"/>
      <w:jc w:val="left"/>
    </w:pPr>
    <w:rPr>
      <w:bCs w:val="0"/>
      <w:kern w:val="28"/>
      <w:sz w:val="24"/>
    </w:rPr>
  </w:style>
  <w:style w:type="paragraph" w:styleId="13">
    <w:name w:val="footnote text"/>
    <w:basedOn w:val="1"/>
    <w:link w:val="47"/>
    <w:qFormat/>
    <w:uiPriority w:val="0"/>
    <w:pPr>
      <w:snapToGrid w:val="0"/>
      <w:jc w:val="left"/>
    </w:pPr>
    <w:rPr>
      <w:sz w:val="18"/>
      <w:szCs w:val="18"/>
      <w:lang w:val="zh-CN" w:eastAsia="zh-CN"/>
    </w:rPr>
  </w:style>
  <w:style w:type="paragraph" w:styleId="14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styleId="15">
    <w:name w:val="Title"/>
    <w:basedOn w:val="2"/>
    <w:next w:val="3"/>
    <w:link w:val="28"/>
    <w:qFormat/>
    <w:uiPriority w:val="10"/>
    <w:pPr>
      <w:keepNext w:val="0"/>
      <w:keepLines w:val="0"/>
      <w:spacing w:before="240" w:after="60" w:line="240" w:lineRule="auto"/>
      <w:jc w:val="center"/>
    </w:pPr>
    <w:rPr>
      <w:rFonts w:ascii="Cambria" w:hAnsi="Cambria"/>
      <w:kern w:val="0"/>
      <w:sz w:val="32"/>
      <w:szCs w:val="32"/>
    </w:rPr>
  </w:style>
  <w:style w:type="paragraph" w:styleId="16">
    <w:name w:val="annotation subject"/>
    <w:basedOn w:val="7"/>
    <w:next w:val="7"/>
    <w:qFormat/>
    <w:uiPriority w:val="0"/>
    <w:rPr>
      <w:b/>
      <w:bCs/>
    </w:rPr>
  </w:style>
  <w:style w:type="table" w:styleId="18">
    <w:name w:val="Table Grid"/>
    <w:basedOn w:val="17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0">
    <w:name w:val="page number"/>
    <w:basedOn w:val="19"/>
    <w:qFormat/>
    <w:uiPriority w:val="0"/>
  </w:style>
  <w:style w:type="character" w:styleId="21">
    <w:name w:val="annotation reference"/>
    <w:qFormat/>
    <w:uiPriority w:val="0"/>
    <w:rPr>
      <w:sz w:val="21"/>
      <w:szCs w:val="21"/>
    </w:rPr>
  </w:style>
  <w:style w:type="character" w:styleId="22">
    <w:name w:val="footnote reference"/>
    <w:qFormat/>
    <w:uiPriority w:val="0"/>
    <w:rPr>
      <w:vertAlign w:val="superscript"/>
    </w:rPr>
  </w:style>
  <w:style w:type="character" w:customStyle="1" w:styleId="23">
    <w:name w:val="标题 3 字符"/>
    <w:link w:val="4"/>
    <w:qFormat/>
    <w:uiPriority w:val="9"/>
    <w:rPr>
      <w:b/>
      <w:bCs/>
      <w:sz w:val="32"/>
      <w:szCs w:val="32"/>
    </w:rPr>
  </w:style>
  <w:style w:type="character" w:customStyle="1" w:styleId="24">
    <w:name w:val="CODE"/>
    <w:qFormat/>
    <w:uiPriority w:val="0"/>
    <w:rPr>
      <w:rFonts w:ascii="Courier New" w:hAnsi="Courier New"/>
      <w:spacing w:val="-10"/>
      <w:sz w:val="20"/>
      <w:lang w:val="en-GB" w:eastAsia="zh-CN"/>
    </w:rPr>
  </w:style>
  <w:style w:type="character" w:customStyle="1" w:styleId="25">
    <w:name w:val="副标题 字符"/>
    <w:link w:val="12"/>
    <w:qFormat/>
    <w:uiPriority w:val="0"/>
    <w:rPr>
      <w:rFonts w:ascii="Cambria" w:hAnsi="Cambria" w:eastAsia="宋体" w:cs="Times New Roman"/>
      <w:b/>
      <w:kern w:val="28"/>
      <w:sz w:val="24"/>
      <w:szCs w:val="32"/>
    </w:rPr>
  </w:style>
  <w:style w:type="character" w:customStyle="1" w:styleId="26">
    <w:name w:val="标题 1 字符"/>
    <w:link w:val="2"/>
    <w:qFormat/>
    <w:uiPriority w:val="9"/>
    <w:rPr>
      <w:b/>
      <w:bCs/>
      <w:kern w:val="44"/>
      <w:sz w:val="44"/>
      <w:szCs w:val="44"/>
    </w:rPr>
  </w:style>
  <w:style w:type="character" w:customStyle="1" w:styleId="27">
    <w:name w:val="标题 2 字符"/>
    <w:link w:val="3"/>
    <w:qFormat/>
    <w:uiPriority w:val="9"/>
    <w:rPr>
      <w:rFonts w:ascii="Cambria" w:hAnsi="Cambria" w:eastAsia="宋体" w:cs="Times New Roman"/>
      <w:b/>
      <w:bCs/>
      <w:sz w:val="32"/>
      <w:szCs w:val="32"/>
    </w:rPr>
  </w:style>
  <w:style w:type="character" w:customStyle="1" w:styleId="28">
    <w:name w:val="标题 字符"/>
    <w:link w:val="15"/>
    <w:qFormat/>
    <w:uiPriority w:val="10"/>
    <w:rPr>
      <w:rFonts w:ascii="Cambria" w:hAnsi="Cambria" w:cs="Times New Roman"/>
      <w:b/>
      <w:bCs/>
      <w:sz w:val="32"/>
      <w:szCs w:val="32"/>
    </w:rPr>
  </w:style>
  <w:style w:type="paragraph" w:customStyle="1" w:styleId="29">
    <w:name w:val="xl33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 Unicode MS" w:hAnsi="Arial Unicode MS" w:eastAsia="Arial Unicode MS" w:cs="Arial Unicode MS"/>
      <w:kern w:val="0"/>
      <w:sz w:val="24"/>
    </w:rPr>
  </w:style>
  <w:style w:type="paragraph" w:customStyle="1" w:styleId="30">
    <w:name w:val="Char Char Char Char Char Char1 Char Char Char"/>
    <w:basedOn w:val="1"/>
    <w:qFormat/>
    <w:uiPriority w:val="0"/>
    <w:pPr>
      <w:autoSpaceDE w:val="0"/>
      <w:autoSpaceDN w:val="0"/>
      <w:adjustRightInd w:val="0"/>
      <w:jc w:val="left"/>
      <w:textAlignment w:val="baseline"/>
    </w:pPr>
    <w:rPr>
      <w:rFonts w:ascii="宋体"/>
      <w:kern w:val="0"/>
      <w:sz w:val="34"/>
    </w:rPr>
  </w:style>
  <w:style w:type="paragraph" w:customStyle="1" w:styleId="31">
    <w:name w:val="次标题"/>
    <w:basedOn w:val="4"/>
    <w:next w:val="1"/>
    <w:qFormat/>
    <w:uiPriority w:val="0"/>
    <w:pPr>
      <w:jc w:val="left"/>
    </w:pPr>
    <w:rPr>
      <w:rFonts w:ascii="宋体" w:hAnsi="宋体"/>
      <w:sz w:val="24"/>
      <w:szCs w:val="24"/>
    </w:rPr>
  </w:style>
  <w:style w:type="paragraph" w:customStyle="1" w:styleId="32">
    <w:name w:val="Char"/>
    <w:basedOn w:val="1"/>
    <w:qFormat/>
    <w:uiPriority w:val="0"/>
  </w:style>
  <w:style w:type="character" w:customStyle="1" w:styleId="33">
    <w:name w:val="标题 4 字符"/>
    <w:link w:val="5"/>
    <w:semiHidden/>
    <w:qFormat/>
    <w:uiPriority w:val="0"/>
    <w:rPr>
      <w:rFonts w:ascii="Cambria" w:hAnsi="Cambria" w:eastAsia="宋体" w:cs="Times New Roman"/>
      <w:b/>
      <w:bCs/>
      <w:sz w:val="28"/>
      <w:szCs w:val="28"/>
    </w:rPr>
  </w:style>
  <w:style w:type="paragraph" w:customStyle="1" w:styleId="34">
    <w:name w:val="XBRL标题1"/>
    <w:basedOn w:val="2"/>
    <w:next w:val="3"/>
    <w:qFormat/>
    <w:uiPriority w:val="0"/>
    <w:pPr>
      <w:spacing w:beforeLines="50" w:afterLines="50" w:line="240" w:lineRule="auto"/>
      <w:jc w:val="center"/>
    </w:pPr>
    <w:rPr>
      <w:rFonts w:ascii="Cambria" w:hAnsi="Cambria"/>
      <w:sz w:val="28"/>
    </w:rPr>
  </w:style>
  <w:style w:type="paragraph" w:customStyle="1" w:styleId="35">
    <w:name w:val="XBRL标题2"/>
    <w:basedOn w:val="12"/>
    <w:next w:val="5"/>
    <w:qFormat/>
    <w:uiPriority w:val="0"/>
    <w:pPr>
      <w:spacing w:beforeLines="50" w:afterLines="50" w:line="240" w:lineRule="auto"/>
    </w:pPr>
    <w:rPr>
      <w:bCs/>
    </w:rPr>
  </w:style>
  <w:style w:type="paragraph" w:customStyle="1" w:styleId="36">
    <w:name w:val="XBRL标题3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7">
    <w:name w:val="XBRL标题4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8">
    <w:name w:val="XBRL标题5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9">
    <w:name w:val="XBRL标题6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40">
    <w:name w:val="XBRLTitle1"/>
    <w:basedOn w:val="2"/>
    <w:next w:val="3"/>
    <w:qFormat/>
    <w:uiPriority w:val="0"/>
    <w:pPr>
      <w:numPr>
        <w:ilvl w:val="0"/>
        <w:numId w:val="1"/>
      </w:numPr>
      <w:spacing w:before="156" w:beforeLines="50" w:after="156" w:afterLines="50" w:line="240" w:lineRule="auto"/>
      <w:jc w:val="left"/>
    </w:pPr>
    <w:rPr>
      <w:rFonts w:ascii="Cambria" w:hAnsi="Cambria"/>
      <w:sz w:val="28"/>
    </w:rPr>
  </w:style>
  <w:style w:type="paragraph" w:customStyle="1" w:styleId="41">
    <w:name w:val="XBRLTitle2"/>
    <w:basedOn w:val="12"/>
    <w:next w:val="5"/>
    <w:qFormat/>
    <w:uiPriority w:val="0"/>
    <w:pPr>
      <w:numPr>
        <w:ilvl w:val="1"/>
        <w:numId w:val="2"/>
      </w:numPr>
      <w:spacing w:beforeLines="50" w:afterLines="50" w:line="240" w:lineRule="auto"/>
    </w:pPr>
    <w:rPr>
      <w:bCs/>
    </w:rPr>
  </w:style>
  <w:style w:type="paragraph" w:customStyle="1" w:styleId="42">
    <w:name w:val="XBRLTitle3"/>
    <w:basedOn w:val="12"/>
    <w:next w:val="5"/>
    <w:qFormat/>
    <w:uiPriority w:val="0"/>
    <w:pPr>
      <w:numPr>
        <w:ilvl w:val="2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3">
    <w:name w:val="XBRLTitle4"/>
    <w:basedOn w:val="12"/>
    <w:next w:val="5"/>
    <w:qFormat/>
    <w:uiPriority w:val="0"/>
    <w:pPr>
      <w:numPr>
        <w:ilvl w:val="3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4">
    <w:name w:val="XBRLTitle5"/>
    <w:basedOn w:val="12"/>
    <w:next w:val="5"/>
    <w:qFormat/>
    <w:uiPriority w:val="0"/>
    <w:pPr>
      <w:numPr>
        <w:ilvl w:val="4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5">
    <w:name w:val="XBRLTitle6"/>
    <w:basedOn w:val="12"/>
    <w:next w:val="5"/>
    <w:qFormat/>
    <w:uiPriority w:val="0"/>
    <w:pPr>
      <w:numPr>
        <w:ilvl w:val="5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6">
    <w:name w:val="Default"/>
    <w:qFormat/>
    <w:uiPriority w:val="0"/>
    <w:pPr>
      <w:widowControl w:val="0"/>
      <w:autoSpaceDE w:val="0"/>
      <w:autoSpaceDN w:val="0"/>
      <w:adjustRightInd w:val="0"/>
    </w:pPr>
    <w:rPr>
      <w:rFonts w:ascii="仿宋" w:hAnsi="仿宋" w:eastAsia="宋体" w:cs="仿宋"/>
      <w:color w:val="000000"/>
      <w:sz w:val="24"/>
      <w:szCs w:val="24"/>
      <w:lang w:val="en-US" w:eastAsia="zh-CN" w:bidi="ar-SA"/>
    </w:rPr>
  </w:style>
  <w:style w:type="character" w:customStyle="1" w:styleId="47">
    <w:name w:val="脚注文本 字符"/>
    <w:link w:val="13"/>
    <w:qFormat/>
    <w:uiPriority w:val="0"/>
    <w:rPr>
      <w:kern w:val="2"/>
      <w:sz w:val="18"/>
      <w:szCs w:val="18"/>
    </w:rPr>
  </w:style>
  <w:style w:type="character" w:customStyle="1" w:styleId="48">
    <w:name w:val="日期 字符"/>
    <w:link w:val="8"/>
    <w:qFormat/>
    <w:uiPriority w:val="0"/>
    <w:rPr>
      <w:rFonts w:ascii="宋体"/>
      <w:kern w:val="2"/>
      <w:sz w:val="32"/>
    </w:rPr>
  </w:style>
  <w:style w:type="paragraph" w:styleId="49">
    <w:name w:val="List Paragraph"/>
    <w:basedOn w:val="1"/>
    <w:qFormat/>
    <w:uiPriority w:val="34"/>
    <w:pPr>
      <w:ind w:firstLine="420" w:firstLineChars="200"/>
    </w:pPr>
  </w:style>
  <w:style w:type="paragraph" w:customStyle="1" w:styleId="50">
    <w:name w:val="Char1"/>
    <w:basedOn w:val="1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Codes\FA&#22806;&#21253;-LU70\WbWeb\TBCoreV2\TBCore.Web\Report\Template\Normal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C33ED8-1EE1-4735-B60D-88619864371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Company>Lenovo</Company>
  <Pages>4</Pages>
  <Words>292</Words>
  <Characters>1665</Characters>
  <Lines>13</Lines>
  <Paragraphs>3</Paragraphs>
  <TotalTime>1</TotalTime>
  <ScaleCrop>false</ScaleCrop>
  <LinksUpToDate>false</LinksUpToDate>
  <CharactersWithSpaces>1954</CharactersWithSpaces>
  <Application>WPS Office_11.8.2.12094_F1E327BC-269C-435d-A152-05C5408002CA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2020-01-07T12:08:00Z</dcterms:created>
  <dc:creator>yss</dc:creator>
  <cp:lastModifiedBy>daiyuran</cp:lastModifiedBy>
  <cp:lastPrinted>2411-12-31T16:00:00Z</cp:lastPrinted>
  <dcterms:modified xsi:type="dcterms:W3CDTF">2024-08-27T09:38:11Z</dcterms:modified>
  <dc:title>gongGaoMingCheng</dc:title>
  <cp:revision>149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2052-11.8.2.12094</vt:lpwstr>
  </property>
  <property fmtid="{D5CDD505-2E9C-101B-9397-08002B2CF9AE}" pid="3" name="ICV">
    <vt:lpwstr>265A417C8CC6467FB1958531EE09ABEC</vt:lpwstr>
  </property>
  <property fmtid="{D5CDD505-2E9C-101B-9397-08002B2CF9AE}" pid="4" name="Generator">
    <vt:lpwstr>NPOI</vt:lpwstr>
  </property>
  <property fmtid="{D5CDD505-2E9C-101B-9397-08002B2CF9AE}" pid="5" name="Generator Version">
    <vt:lpwstr>2.2.1</vt:lpwstr>
  </property>
</Properties>
</file>