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四川银行定开系列6个月16号净值型理财产品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自2024-01-01起至2024-06-30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四川银行定开系列6个月16号净值型理财产品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2022-04-19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137,650,732.00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[3.1%-3.7%]/年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101.66%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四川银行-四川银行定开系列6个月16号净值型理财产品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128912158810218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8.32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1,841,851.97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2,431,007.34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138,592,558.00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138,568,482.22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1.0831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88,648,355.58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62.92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88,648,355.58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62.92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45,016,878.60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31.95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7,216,964.54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5.12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7,952.15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140,890,150.87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45,016,878.60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32.48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21眉府01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10,517,452.06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20香城投资MTN002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10,489,459.02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23泸州产业SCP002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10,212,158.47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23香城投资SCP003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10,205,696.72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24绵阳投资MTN001A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8,156,589.59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21绵投02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7,371,182.19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23达州高科MTN001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5,351,196.72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22温国01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5,270,753.42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24泸临01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4,978,136.99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3.59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本报告期末，本产品投资的</w:t>
      </w:r>
      <w:r>
        <w:rPr>
          <w:rFonts w:ascii="宋体" w:hAnsi="宋体"/>
          <w:szCs w:val="21"/>
        </w:rPr>
        <w:t>21眉府01</w:t>
      </w:r>
      <w:r>
        <w:rPr>
          <w:rFonts w:hint="eastAsia" w:asciiTheme="minorEastAsia" w:hAnsiTheme="minorEastAsia" w:eastAsiaTheme="minorEastAsia"/>
          <w:szCs w:val="21"/>
        </w:rPr>
        <w:t>属于关联交易。</w:t>
      </w:r>
    </w:p>
    <w:p>
      <w:pPr>
        <w:jc w:val="right"/>
        <w:rPr>
          <w:rFonts w:ascii="宋体" w:hAnsi="宋体"/>
          <w:sz w:val="24"/>
        </w:rPr>
      </w:pPr>
      <w:bookmarkStart w:id="5" w:name="_GoBack"/>
      <w:bookmarkEnd w:id="5"/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2024-08-29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23AB2840"/>
    <w:rsid w:val="2CA10D88"/>
    <w:rsid w:val="2FC23DC4"/>
    <w:rsid w:val="339E2F39"/>
    <w:rsid w:val="38A16717"/>
    <w:rsid w:val="3D515090"/>
    <w:rsid w:val="46A87316"/>
    <w:rsid w:val="47CF172B"/>
    <w:rsid w:val="512D246A"/>
    <w:rsid w:val="54B27197"/>
    <w:rsid w:val="57CF5C79"/>
    <w:rsid w:val="5A9E6B68"/>
    <w:rsid w:val="5AF45F1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0</TotalTime>
  <ScaleCrop>false</ScaleCrop>
  <LinksUpToDate>false</LinksUpToDate>
  <CharactersWithSpaces>1954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2411-12-31T16:00:00Z</cp:lastPrinted>
  <dcterms:modified xsi:type="dcterms:W3CDTF">2024-08-27T12:17:19Z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C00357958F364EF986916543AD205841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