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四川银行定开系列1个月1号净值型理财产品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四川银行定开系列1个月1号净值型理财产品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C1438122000070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2022-09-15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853,386,483.00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四川银行-四川银行定开系列1个月1号净值型理财产品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128912158810940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lang w:val="en-US" w:eastAsia="zh-CN"/>
              </w:rPr>
              <w:t>招商银行</w:t>
            </w:r>
            <w:r>
              <w:rPr>
                <w:rFonts w:hint="eastAsia" w:ascii="宋体" w:hAnsi="宋体"/>
              </w:rPr>
              <w:t>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8.48</w:t>
            </w:r>
            <w:bookmarkStart w:id="1" w:name="OLE_LINK4"/>
            <w:bookmarkEnd w:id="1"/>
            <w:bookmarkStart w:id="2" w:name="OLE_LINK7"/>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4,698,339.16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4,751,475.16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854,043,947.20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pPr>
            <w:r>
              <w:rPr>
                <w:b w:val="0"/>
                <w:i w:val="0"/>
                <w:strike w:val="0"/>
                <w:u w:val="none"/>
              </w:rPr>
              <w:t>1.0008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1.0848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854,043,947.20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1.0848</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789,988,401.22</w:t>
            </w:r>
          </w:p>
        </w:tc>
        <w:tc>
          <w:tcPr>
            <w:tcW w:w="1749" w:type="dxa"/>
            <w:shd w:val="clear" w:color="auto" w:fill="auto"/>
            <w:vAlign w:val="center"/>
          </w:tcPr>
          <w:p>
            <w:pPr>
              <w:jc w:val="right"/>
            </w:pPr>
            <w:r>
              <w:t>92.34</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739,528,935.38</w:t>
            </w:r>
          </w:p>
        </w:tc>
        <w:tc>
          <w:tcPr>
            <w:tcW w:w="1749" w:type="dxa"/>
            <w:shd w:val="clear" w:color="auto" w:fill="auto"/>
            <w:vAlign w:val="center"/>
          </w:tcPr>
          <w:p>
            <w:pPr>
              <w:jc w:val="right"/>
            </w:pPr>
            <w:r>
              <w:t>86.44</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50,459,465.84</w:t>
            </w:r>
          </w:p>
        </w:tc>
        <w:tc>
          <w:tcPr>
            <w:tcW w:w="1749" w:type="dxa"/>
            <w:shd w:val="clear" w:color="auto" w:fill="auto"/>
            <w:vAlign w:val="center"/>
          </w:tcPr>
          <w:p>
            <w:pPr>
              <w:jc w:val="right"/>
            </w:pPr>
            <w:r>
              <w:t>5.90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65,422,659.77</w:t>
            </w:r>
          </w:p>
        </w:tc>
        <w:tc>
          <w:tcPr>
            <w:tcW w:w="1749" w:type="dxa"/>
            <w:shd w:val="clear" w:color="auto" w:fill="auto"/>
            <w:vAlign w:val="center"/>
          </w:tcPr>
          <w:p>
            <w:pPr>
              <w:jc w:val="right"/>
            </w:pPr>
            <w:r>
              <w:t>7.65</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136,418.53</w:t>
            </w:r>
          </w:p>
        </w:tc>
        <w:tc>
          <w:tcPr>
            <w:tcW w:w="1749" w:type="dxa"/>
            <w:shd w:val="clear" w:color="auto" w:fill="auto"/>
            <w:vAlign w:val="center"/>
          </w:tcPr>
          <w:p>
            <w:pPr>
              <w:jc w:val="right"/>
            </w:pPr>
            <w:r>
              <w:t>0.02</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855,547,479.52</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23达州投资MTN001</w:t>
            </w:r>
          </w:p>
        </w:tc>
        <w:tc>
          <w:tcPr>
            <w:tcW w:w="2693" w:type="dxa"/>
            <w:shd w:val="clear" w:color="auto" w:fill="auto"/>
            <w:vAlign w:val="center"/>
          </w:tcPr>
          <w:p>
            <w:pPr>
              <w:jc w:val="right"/>
            </w:pPr>
            <w:r>
              <w:t>41,791,594.52</w:t>
            </w:r>
          </w:p>
        </w:tc>
        <w:tc>
          <w:tcPr>
            <w:tcW w:w="2431" w:type="dxa"/>
            <w:shd w:val="clear" w:color="auto" w:fill="auto"/>
            <w:vAlign w:val="center"/>
          </w:tcPr>
          <w:p>
            <w:pPr>
              <w:jc w:val="right"/>
            </w:pPr>
            <w:bookmarkStart w:id="3" w:name="OLE_LINK6"/>
            <w:bookmarkEnd w:id="3"/>
            <w:bookmarkStart w:id="4" w:name="OLE_LINK5"/>
            <w:bookmarkEnd w:id="4"/>
            <w:r>
              <w:rPr>
                <w:rFonts w:hint="eastAsia"/>
              </w:rPr>
              <w:t>4.89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23川菜01</w:t>
            </w:r>
          </w:p>
        </w:tc>
        <w:tc>
          <w:tcPr>
            <w:tcW w:w="2693" w:type="dxa"/>
            <w:shd w:val="clear" w:color="auto" w:fill="auto"/>
            <w:vAlign w:val="center"/>
          </w:tcPr>
          <w:p>
            <w:pPr>
              <w:ind w:hanging="1"/>
              <w:jc w:val="right"/>
            </w:pPr>
            <w:r>
              <w:rPr>
                <w:b w:val="0"/>
                <w:i w:val="0"/>
                <w:strike w:val="0"/>
                <w:u w:val="none"/>
              </w:rPr>
              <w:t>41,143,726.03</w:t>
            </w:r>
          </w:p>
        </w:tc>
        <w:tc>
          <w:tcPr>
            <w:tcW w:w="2431" w:type="dxa"/>
            <w:shd w:val="clear" w:color="auto" w:fill="auto"/>
            <w:vAlign w:val="center"/>
          </w:tcPr>
          <w:p>
            <w:pPr>
              <w:ind w:hanging="1"/>
              <w:jc w:val="right"/>
            </w:pPr>
            <w:r>
              <w:rPr>
                <w:rFonts w:hint="eastAsia"/>
                <w:b w:val="0"/>
                <w:i w:val="0"/>
                <w:strike w:val="0"/>
                <w:u w:val="none"/>
              </w:rPr>
              <w:t>4.82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24湔江01</w:t>
            </w:r>
          </w:p>
        </w:tc>
        <w:tc>
          <w:tcPr>
            <w:tcW w:w="2693" w:type="dxa"/>
            <w:shd w:val="clear" w:color="auto" w:fill="auto"/>
            <w:vAlign w:val="center"/>
          </w:tcPr>
          <w:p>
            <w:pPr>
              <w:ind w:hanging="1"/>
              <w:jc w:val="right"/>
            </w:pPr>
            <w:r>
              <w:rPr>
                <w:b w:val="0"/>
                <w:i w:val="0"/>
                <w:strike w:val="0"/>
                <w:u w:val="none"/>
              </w:rPr>
              <w:t>32,791,671.23</w:t>
            </w:r>
          </w:p>
        </w:tc>
        <w:tc>
          <w:tcPr>
            <w:tcW w:w="2431" w:type="dxa"/>
            <w:shd w:val="clear" w:color="auto" w:fill="auto"/>
            <w:vAlign w:val="center"/>
          </w:tcPr>
          <w:p>
            <w:pPr>
              <w:ind w:hanging="1"/>
              <w:jc w:val="right"/>
            </w:pPr>
            <w:r>
              <w:rPr>
                <w:rFonts w:hint="eastAsia"/>
                <w:b w:val="0"/>
                <w:i w:val="0"/>
                <w:strike w:val="0"/>
                <w:u w:val="none"/>
              </w:rPr>
              <w:t>3.84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21攀国投</w:t>
            </w:r>
          </w:p>
        </w:tc>
        <w:tc>
          <w:tcPr>
            <w:tcW w:w="2693" w:type="dxa"/>
            <w:shd w:val="clear" w:color="auto" w:fill="auto"/>
            <w:vAlign w:val="center"/>
          </w:tcPr>
          <w:p>
            <w:pPr>
              <w:ind w:hanging="1"/>
              <w:jc w:val="right"/>
            </w:pPr>
            <w:r>
              <w:rPr>
                <w:b w:val="0"/>
                <w:i w:val="0"/>
                <w:strike w:val="0"/>
                <w:u w:val="none"/>
              </w:rPr>
              <w:t>32,489,383.56</w:t>
            </w:r>
          </w:p>
        </w:tc>
        <w:tc>
          <w:tcPr>
            <w:tcW w:w="2431" w:type="dxa"/>
            <w:shd w:val="clear" w:color="auto" w:fill="auto"/>
            <w:vAlign w:val="center"/>
          </w:tcPr>
          <w:p>
            <w:pPr>
              <w:ind w:hanging="1"/>
              <w:jc w:val="right"/>
            </w:pPr>
            <w:r>
              <w:rPr>
                <w:rFonts w:hint="eastAsia"/>
                <w:b w:val="0"/>
                <w:i w:val="0"/>
                <w:strike w:val="0"/>
                <w:u w:val="none"/>
              </w:rPr>
              <w:t>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24达州03</w:t>
            </w:r>
          </w:p>
        </w:tc>
        <w:tc>
          <w:tcPr>
            <w:tcW w:w="2693" w:type="dxa"/>
            <w:shd w:val="clear" w:color="auto" w:fill="auto"/>
            <w:vAlign w:val="center"/>
          </w:tcPr>
          <w:p>
            <w:pPr>
              <w:ind w:hanging="1"/>
              <w:jc w:val="right"/>
            </w:pPr>
            <w:r>
              <w:rPr>
                <w:b w:val="0"/>
                <w:i w:val="0"/>
                <w:strike w:val="0"/>
                <w:u w:val="none"/>
              </w:rPr>
              <w:t>28,759,336.99</w:t>
            </w:r>
          </w:p>
        </w:tc>
        <w:tc>
          <w:tcPr>
            <w:tcW w:w="2431" w:type="dxa"/>
            <w:shd w:val="clear" w:color="auto" w:fill="auto"/>
            <w:vAlign w:val="center"/>
          </w:tcPr>
          <w:p>
            <w:pPr>
              <w:ind w:hanging="1"/>
              <w:jc w:val="right"/>
            </w:pPr>
            <w:r>
              <w:rPr>
                <w:rFonts w:hint="eastAsia"/>
                <w:b w:val="0"/>
                <w:i w:val="0"/>
                <w:strike w:val="0"/>
                <w:u w:val="none"/>
              </w:rPr>
              <w:t>3.37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24达州01</w:t>
            </w:r>
          </w:p>
        </w:tc>
        <w:tc>
          <w:tcPr>
            <w:tcW w:w="2693" w:type="dxa"/>
            <w:shd w:val="clear" w:color="auto" w:fill="auto"/>
            <w:vAlign w:val="center"/>
          </w:tcPr>
          <w:p>
            <w:pPr>
              <w:ind w:hanging="1"/>
              <w:jc w:val="right"/>
            </w:pPr>
            <w:r>
              <w:rPr>
                <w:b w:val="0"/>
                <w:i w:val="0"/>
                <w:strike w:val="0"/>
                <w:u w:val="none"/>
              </w:rPr>
              <w:t>27,998,794.52</w:t>
            </w:r>
          </w:p>
        </w:tc>
        <w:tc>
          <w:tcPr>
            <w:tcW w:w="2431" w:type="dxa"/>
            <w:shd w:val="clear" w:color="auto" w:fill="auto"/>
            <w:vAlign w:val="center"/>
          </w:tcPr>
          <w:p>
            <w:pPr>
              <w:ind w:hanging="1"/>
              <w:jc w:val="right"/>
            </w:pPr>
            <w:r>
              <w:rPr>
                <w:rFonts w:hint="eastAsia"/>
                <w:b w:val="0"/>
                <w:i w:val="0"/>
                <w:strike w:val="0"/>
                <w:u w:val="none"/>
              </w:rPr>
              <w:t>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25富滇银行CD107</w:t>
            </w:r>
          </w:p>
        </w:tc>
        <w:tc>
          <w:tcPr>
            <w:tcW w:w="2693" w:type="dxa"/>
            <w:shd w:val="clear" w:color="auto" w:fill="auto"/>
            <w:vAlign w:val="center"/>
          </w:tcPr>
          <w:p>
            <w:pPr>
              <w:ind w:hanging="1"/>
              <w:jc w:val="right"/>
            </w:pPr>
            <w:r>
              <w:rPr>
                <w:b w:val="0"/>
                <w:i w:val="0"/>
                <w:strike w:val="0"/>
                <w:u w:val="none"/>
              </w:rPr>
              <w:t>23,769,371.44</w:t>
            </w:r>
          </w:p>
        </w:tc>
        <w:tc>
          <w:tcPr>
            <w:tcW w:w="2431" w:type="dxa"/>
            <w:shd w:val="clear" w:color="auto" w:fill="auto"/>
            <w:vAlign w:val="center"/>
          </w:tcPr>
          <w:p>
            <w:pPr>
              <w:ind w:hanging="1"/>
              <w:jc w:val="right"/>
            </w:pPr>
            <w:r>
              <w:rPr>
                <w:rFonts w:hint="eastAsia"/>
                <w:b w:val="0"/>
                <w:i w:val="0"/>
                <w:strike w:val="0"/>
                <w:u w:val="none"/>
              </w:rPr>
              <w:t>2.78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蓉工31A1</w:t>
            </w:r>
          </w:p>
        </w:tc>
        <w:tc>
          <w:tcPr>
            <w:tcW w:w="2693" w:type="dxa"/>
            <w:shd w:val="clear" w:color="auto" w:fill="auto"/>
            <w:vAlign w:val="center"/>
          </w:tcPr>
          <w:p>
            <w:pPr>
              <w:ind w:hanging="1"/>
              <w:jc w:val="right"/>
            </w:pPr>
            <w:r>
              <w:rPr>
                <w:b w:val="0"/>
                <w:i w:val="0"/>
                <w:strike w:val="0"/>
                <w:u w:val="none"/>
              </w:rPr>
              <w:t>20,860,035.16</w:t>
            </w:r>
          </w:p>
        </w:tc>
        <w:tc>
          <w:tcPr>
            <w:tcW w:w="2431" w:type="dxa"/>
            <w:shd w:val="clear" w:color="auto" w:fill="auto"/>
            <w:vAlign w:val="center"/>
          </w:tcPr>
          <w:p>
            <w:pPr>
              <w:ind w:hanging="1"/>
              <w:jc w:val="right"/>
            </w:pPr>
            <w:r>
              <w:rPr>
                <w:rFonts w:hint="eastAsia"/>
                <w:b w:val="0"/>
                <w:i w:val="0"/>
                <w:strike w:val="0"/>
                <w:u w:val="none"/>
              </w:rPr>
              <w:t>2.44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25达州02</w:t>
            </w:r>
          </w:p>
        </w:tc>
        <w:tc>
          <w:tcPr>
            <w:tcW w:w="2693" w:type="dxa"/>
            <w:shd w:val="clear" w:color="auto" w:fill="auto"/>
            <w:vAlign w:val="center"/>
          </w:tcPr>
          <w:p>
            <w:pPr>
              <w:ind w:hanging="1"/>
              <w:jc w:val="right"/>
            </w:pPr>
            <w:r>
              <w:rPr>
                <w:b w:val="0"/>
                <w:i w:val="0"/>
                <w:strike w:val="0"/>
                <w:u w:val="none"/>
              </w:rPr>
              <w:t>20,466,345.21</w:t>
            </w:r>
          </w:p>
        </w:tc>
        <w:tc>
          <w:tcPr>
            <w:tcW w:w="2431" w:type="dxa"/>
            <w:shd w:val="clear" w:color="auto" w:fill="auto"/>
            <w:vAlign w:val="center"/>
          </w:tcPr>
          <w:p>
            <w:pPr>
              <w:ind w:hanging="1"/>
              <w:jc w:val="right"/>
            </w:pPr>
            <w:r>
              <w:rPr>
                <w:rFonts w:hint="eastAsia"/>
                <w:b w:val="0"/>
                <w:i w:val="0"/>
                <w:strike w:val="0"/>
                <w:u w:val="none"/>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25唐山银行CD157</w:t>
            </w:r>
          </w:p>
        </w:tc>
        <w:tc>
          <w:tcPr>
            <w:tcW w:w="2693" w:type="dxa"/>
            <w:shd w:val="clear" w:color="auto" w:fill="auto"/>
            <w:vAlign w:val="center"/>
          </w:tcPr>
          <w:p>
            <w:pPr>
              <w:ind w:hanging="1"/>
              <w:jc w:val="right"/>
            </w:pPr>
            <w:r>
              <w:rPr>
                <w:b w:val="0"/>
                <w:i w:val="0"/>
                <w:strike w:val="0"/>
                <w:u w:val="none"/>
              </w:rPr>
              <w:t>19,982,150.76</w:t>
            </w:r>
          </w:p>
        </w:tc>
        <w:tc>
          <w:tcPr>
            <w:tcW w:w="2431" w:type="dxa"/>
            <w:shd w:val="clear" w:color="auto" w:fill="auto"/>
            <w:vAlign w:val="center"/>
          </w:tcPr>
          <w:p>
            <w:pPr>
              <w:ind w:hanging="1"/>
              <w:jc w:val="right"/>
            </w:pPr>
            <w:r>
              <w:rPr>
                <w:rFonts w:hint="eastAsia"/>
                <w:b w:val="0"/>
                <w:i w:val="0"/>
                <w:strike w:val="0"/>
                <w:u w:val="none"/>
              </w:rPr>
              <w:t>2.34</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bookmarkStart w:id="5" w:name="_GoBack"/>
      <w:bookmarkEnd w:id="5"/>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本报告期末，本产品投资的</w:t>
      </w:r>
      <w:r>
        <w:rPr>
          <w:rFonts w:asciiTheme="majorEastAsia" w:hAnsiTheme="majorEastAsia" w:eastAsiaTheme="majorEastAsia"/>
          <w:b w:val="0"/>
          <w:i w:val="0"/>
          <w:strike w:val="0"/>
          <w:u w:val="none"/>
        </w:rPr>
        <w:t>蓉工31A1</w:t>
      </w:r>
      <w:r>
        <w:rPr>
          <w:rFonts w:hint="eastAsia" w:asciiTheme="minorEastAsia" w:hAnsiTheme="minorEastAsia" w:eastAsiaTheme="minorEastAsia"/>
          <w:szCs w:val="21"/>
        </w:rPr>
        <w:t>属于关联交易。</w:t>
      </w:r>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DD13355"/>
    <w:rsid w:val="1F246194"/>
    <w:rsid w:val="21AF23DE"/>
    <w:rsid w:val="250932D9"/>
    <w:rsid w:val="30D863E3"/>
    <w:rsid w:val="35706056"/>
    <w:rsid w:val="35844C1F"/>
    <w:rsid w:val="378A66D0"/>
    <w:rsid w:val="3F692625"/>
    <w:rsid w:val="44843123"/>
    <w:rsid w:val="46050EA9"/>
    <w:rsid w:val="49D862C5"/>
    <w:rsid w:val="4B474E5A"/>
    <w:rsid w:val="51E06E0A"/>
    <w:rsid w:val="53167101"/>
    <w:rsid w:val="57E86C74"/>
    <w:rsid w:val="5B5FA6DC"/>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0</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2026-01-14T07:23:16Z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22D3C8B12DF245F695643D6775F2063E</vt:lpwstr>
  </property>
</Properties>
</file>