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四川银行定开系列6个月9号净值型理财产品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四川银行定开系列6个月9号净值型理财产品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205,550,000.00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四川银行-四川银行定开系列6个月9号净值型理财产品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11.68</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901,383.99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1,166,232.92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207,425,802.78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207,425,802.78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1.1168</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161,605,153.56</w:t>
            </w:r>
          </w:p>
        </w:tc>
        <w:tc>
          <w:tcPr>
            <w:tcW w:w="1749" w:type="dxa"/>
            <w:shd w:val="clear" w:color="auto" w:fill="auto"/>
            <w:vAlign w:val="center"/>
          </w:tcPr>
          <w:p>
            <w:pPr>
              <w:jc w:val="right"/>
            </w:pPr>
            <w:r>
              <w:t>76.31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161,605,153.56</w:t>
            </w:r>
          </w:p>
        </w:tc>
        <w:tc>
          <w:tcPr>
            <w:tcW w:w="1749" w:type="dxa"/>
            <w:shd w:val="clear" w:color="auto" w:fill="auto"/>
            <w:vAlign w:val="center"/>
          </w:tcPr>
          <w:p>
            <w:pPr>
              <w:jc w:val="right"/>
            </w:pPr>
            <w:r>
              <w:t>76.31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40,002,447.72</w:t>
            </w:r>
          </w:p>
        </w:tc>
        <w:tc>
          <w:tcPr>
            <w:tcW w:w="1749" w:type="dxa"/>
            <w:shd w:val="clear" w:color="auto" w:fill="auto"/>
            <w:vAlign w:val="center"/>
          </w:tcPr>
          <w:p>
            <w:pPr>
              <w:jc w:val="right"/>
            </w:pPr>
            <w:r>
              <w:t>18.89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10,031,104.46</w:t>
            </w:r>
          </w:p>
        </w:tc>
        <w:tc>
          <w:tcPr>
            <w:tcW w:w="1749" w:type="dxa"/>
            <w:shd w:val="clear" w:color="auto" w:fill="auto"/>
            <w:vAlign w:val="center"/>
          </w:tcPr>
          <w:p>
            <w:pPr>
              <w:jc w:val="right"/>
            </w:pPr>
            <w:r>
              <w:t>4.74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132,405.12</w:t>
            </w:r>
          </w:p>
        </w:tc>
        <w:tc>
          <w:tcPr>
            <w:tcW w:w="1749" w:type="dxa"/>
            <w:shd w:val="clear" w:color="auto" w:fill="auto"/>
            <w:vAlign w:val="center"/>
          </w:tcPr>
          <w:p>
            <w:pPr>
              <w:jc w:val="right"/>
            </w:pPr>
            <w:r>
              <w:t>0.06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211,771,110.86</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40,002,447.72</w:t>
            </w:r>
          </w:p>
        </w:tc>
        <w:tc>
          <w:tcPr>
            <w:tcW w:w="2431" w:type="dxa"/>
            <w:shd w:val="clear" w:color="auto" w:fill="auto"/>
            <w:vAlign w:val="center"/>
          </w:tcPr>
          <w:p>
            <w:pPr>
              <w:jc w:val="right"/>
            </w:pPr>
            <w:bookmarkStart w:id="3" w:name="OLE_LINK5"/>
            <w:bookmarkEnd w:id="3"/>
            <w:bookmarkStart w:id="4" w:name="OLE_LINK6"/>
            <w:bookmarkEnd w:id="4"/>
            <w:r>
              <w:rPr>
                <w:rFonts w:hint="eastAsia"/>
              </w:rPr>
              <w:t>19.29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24绵阳投资MTN001A</w:t>
            </w:r>
          </w:p>
        </w:tc>
        <w:tc>
          <w:tcPr>
            <w:tcW w:w="2693" w:type="dxa"/>
            <w:shd w:val="clear" w:color="auto" w:fill="auto"/>
            <w:vAlign w:val="center"/>
          </w:tcPr>
          <w:p>
            <w:pPr>
              <w:ind w:hanging="1"/>
              <w:jc w:val="right"/>
            </w:pPr>
            <w:r>
              <w:rPr>
                <w:b w:val="0"/>
                <w:i w:val="0"/>
                <w:strike w:val="0"/>
                <w:u w:val="none"/>
              </w:rPr>
              <w:t>12,398,294.79</w:t>
            </w:r>
          </w:p>
        </w:tc>
        <w:tc>
          <w:tcPr>
            <w:tcW w:w="2431" w:type="dxa"/>
            <w:shd w:val="clear" w:color="auto" w:fill="auto"/>
            <w:vAlign w:val="center"/>
          </w:tcPr>
          <w:p>
            <w:pPr>
              <w:ind w:hanging="1"/>
              <w:jc w:val="right"/>
            </w:pPr>
            <w:r>
              <w:rPr>
                <w:rFonts w:hint="eastAsia"/>
                <w:b w:val="0"/>
                <w:i w:val="0"/>
                <w:strike w:val="0"/>
                <w:u w:val="none"/>
              </w:rPr>
              <w:t>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24阜阳债</w:t>
            </w:r>
          </w:p>
        </w:tc>
        <w:tc>
          <w:tcPr>
            <w:tcW w:w="2693" w:type="dxa"/>
            <w:shd w:val="clear" w:color="auto" w:fill="auto"/>
            <w:vAlign w:val="center"/>
          </w:tcPr>
          <w:p>
            <w:pPr>
              <w:ind w:hanging="1"/>
              <w:jc w:val="right"/>
            </w:pPr>
            <w:r>
              <w:rPr>
                <w:b w:val="0"/>
                <w:i w:val="0"/>
                <w:strike w:val="0"/>
                <w:u w:val="none"/>
              </w:rPr>
              <w:t>10,698,643.84</w:t>
            </w:r>
          </w:p>
        </w:tc>
        <w:tc>
          <w:tcPr>
            <w:tcW w:w="2431" w:type="dxa"/>
            <w:shd w:val="clear" w:color="auto" w:fill="auto"/>
            <w:vAlign w:val="center"/>
          </w:tcPr>
          <w:p>
            <w:pPr>
              <w:ind w:hanging="1"/>
              <w:jc w:val="right"/>
            </w:pPr>
            <w:r>
              <w:rPr>
                <w:rFonts w:hint="eastAsia"/>
                <w:b w:val="0"/>
                <w:i w:val="0"/>
                <w:strike w:val="0"/>
                <w:u w:val="none"/>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24自高01</w:t>
            </w:r>
          </w:p>
        </w:tc>
        <w:tc>
          <w:tcPr>
            <w:tcW w:w="2693" w:type="dxa"/>
            <w:shd w:val="clear" w:color="auto" w:fill="auto"/>
            <w:vAlign w:val="center"/>
          </w:tcPr>
          <w:p>
            <w:pPr>
              <w:ind w:hanging="1"/>
              <w:jc w:val="right"/>
            </w:pPr>
            <w:r>
              <w:rPr>
                <w:b w:val="0"/>
                <w:i w:val="0"/>
                <w:strike w:val="0"/>
                <w:u w:val="none"/>
              </w:rPr>
              <w:t>10,638,780.82</w:t>
            </w:r>
          </w:p>
        </w:tc>
        <w:tc>
          <w:tcPr>
            <w:tcW w:w="2431" w:type="dxa"/>
            <w:shd w:val="clear" w:color="auto" w:fill="auto"/>
            <w:vAlign w:val="center"/>
          </w:tcPr>
          <w:p>
            <w:pPr>
              <w:ind w:hanging="1"/>
              <w:jc w:val="right"/>
            </w:pPr>
            <w:r>
              <w:rPr>
                <w:rFonts w:hint="eastAsia"/>
                <w:b w:val="0"/>
                <w:i w:val="0"/>
                <w:strike w:val="0"/>
                <w:u w:val="none"/>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24龙驰01</w:t>
            </w:r>
          </w:p>
        </w:tc>
        <w:tc>
          <w:tcPr>
            <w:tcW w:w="2693" w:type="dxa"/>
            <w:shd w:val="clear" w:color="auto" w:fill="auto"/>
            <w:vAlign w:val="center"/>
          </w:tcPr>
          <w:p>
            <w:pPr>
              <w:ind w:hanging="1"/>
              <w:jc w:val="right"/>
            </w:pPr>
            <w:r>
              <w:rPr>
                <w:b w:val="0"/>
                <w:i w:val="0"/>
                <w:strike w:val="0"/>
                <w:u w:val="none"/>
              </w:rPr>
              <w:t>10,620,863.01</w:t>
            </w:r>
          </w:p>
        </w:tc>
        <w:tc>
          <w:tcPr>
            <w:tcW w:w="2431" w:type="dxa"/>
            <w:shd w:val="clear" w:color="auto" w:fill="auto"/>
            <w:vAlign w:val="center"/>
          </w:tcPr>
          <w:p>
            <w:pPr>
              <w:ind w:hanging="1"/>
              <w:jc w:val="right"/>
            </w:pPr>
            <w:r>
              <w:rPr>
                <w:rFonts w:hint="eastAsia"/>
                <w:b w:val="0"/>
                <w:i w:val="0"/>
                <w:strike w:val="0"/>
                <w:u w:val="none"/>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24眉控02</w:t>
            </w:r>
          </w:p>
        </w:tc>
        <w:tc>
          <w:tcPr>
            <w:tcW w:w="2693" w:type="dxa"/>
            <w:shd w:val="clear" w:color="auto" w:fill="auto"/>
            <w:vAlign w:val="center"/>
          </w:tcPr>
          <w:p>
            <w:pPr>
              <w:ind w:hanging="1"/>
              <w:jc w:val="right"/>
            </w:pPr>
            <w:r>
              <w:rPr>
                <w:b w:val="0"/>
                <w:i w:val="0"/>
                <w:strike w:val="0"/>
                <w:u w:val="none"/>
              </w:rPr>
              <w:t>10,435,684.93</w:t>
            </w:r>
          </w:p>
        </w:tc>
        <w:tc>
          <w:tcPr>
            <w:tcW w:w="2431" w:type="dxa"/>
            <w:shd w:val="clear" w:color="auto" w:fill="auto"/>
            <w:vAlign w:val="center"/>
          </w:tcPr>
          <w:p>
            <w:pPr>
              <w:ind w:hanging="1"/>
              <w:jc w:val="right"/>
            </w:pPr>
            <w:r>
              <w:rPr>
                <w:rFonts w:hint="eastAsia"/>
                <w:b w:val="0"/>
                <w:i w:val="0"/>
                <w:strike w:val="0"/>
                <w:u w:val="none"/>
              </w:rPr>
              <w:t>5.03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24新津城乡MTN001A</w:t>
            </w:r>
          </w:p>
        </w:tc>
        <w:tc>
          <w:tcPr>
            <w:tcW w:w="2693" w:type="dxa"/>
            <w:shd w:val="clear" w:color="auto" w:fill="auto"/>
            <w:vAlign w:val="center"/>
          </w:tcPr>
          <w:p>
            <w:pPr>
              <w:ind w:hanging="1"/>
              <w:jc w:val="right"/>
            </w:pPr>
            <w:r>
              <w:rPr>
                <w:b w:val="0"/>
                <w:i w:val="0"/>
                <w:strike w:val="0"/>
                <w:u w:val="none"/>
              </w:rPr>
              <w:t>10,397,169.86</w:t>
            </w:r>
          </w:p>
        </w:tc>
        <w:tc>
          <w:tcPr>
            <w:tcW w:w="2431" w:type="dxa"/>
            <w:shd w:val="clear" w:color="auto" w:fill="auto"/>
            <w:vAlign w:val="center"/>
          </w:tcPr>
          <w:p>
            <w:pPr>
              <w:ind w:hanging="1"/>
              <w:jc w:val="right"/>
            </w:pPr>
            <w:r>
              <w:rPr>
                <w:rFonts w:hint="eastAsia"/>
                <w:b w:val="0"/>
                <w:i w:val="0"/>
                <w:strike w:val="0"/>
                <w:u w:val="none"/>
              </w:rPr>
              <w:t>5.01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21攀枝城投MTN001</w:t>
            </w:r>
          </w:p>
        </w:tc>
        <w:tc>
          <w:tcPr>
            <w:tcW w:w="2693" w:type="dxa"/>
            <w:shd w:val="clear" w:color="auto" w:fill="auto"/>
            <w:vAlign w:val="center"/>
          </w:tcPr>
          <w:p>
            <w:pPr>
              <w:ind w:hanging="1"/>
              <w:jc w:val="right"/>
            </w:pPr>
            <w:r>
              <w:rPr>
                <w:b w:val="0"/>
                <w:i w:val="0"/>
                <w:strike w:val="0"/>
                <w:u w:val="none"/>
              </w:rPr>
              <w:t>10,163,493.15</w:t>
            </w:r>
          </w:p>
        </w:tc>
        <w:tc>
          <w:tcPr>
            <w:tcW w:w="2431" w:type="dxa"/>
            <w:shd w:val="clear" w:color="auto" w:fill="auto"/>
            <w:vAlign w:val="center"/>
          </w:tcPr>
          <w:p>
            <w:pPr>
              <w:ind w:hanging="1"/>
              <w:jc w:val="right"/>
            </w:pPr>
            <w:r>
              <w:rPr>
                <w:rFonts w:hint="eastAsia"/>
                <w:b w:val="0"/>
                <w:i w:val="0"/>
                <w:strike w:val="0"/>
                <w:u w:val="none"/>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25泸发01</w:t>
            </w:r>
          </w:p>
        </w:tc>
        <w:tc>
          <w:tcPr>
            <w:tcW w:w="2693" w:type="dxa"/>
            <w:shd w:val="clear" w:color="auto" w:fill="auto"/>
            <w:vAlign w:val="center"/>
          </w:tcPr>
          <w:p>
            <w:pPr>
              <w:ind w:hanging="1"/>
              <w:jc w:val="right"/>
            </w:pPr>
            <w:r>
              <w:rPr>
                <w:b w:val="0"/>
                <w:i w:val="0"/>
                <w:strike w:val="0"/>
                <w:u w:val="none"/>
              </w:rPr>
              <w:t>10,125,210.96</w:t>
            </w:r>
          </w:p>
        </w:tc>
        <w:tc>
          <w:tcPr>
            <w:tcW w:w="2431" w:type="dxa"/>
            <w:shd w:val="clear" w:color="auto" w:fill="auto"/>
            <w:vAlign w:val="center"/>
          </w:tcPr>
          <w:p>
            <w:pPr>
              <w:ind w:hanging="1"/>
              <w:jc w:val="right"/>
            </w:pPr>
            <w:r>
              <w:rPr>
                <w:rFonts w:hint="eastAsia"/>
                <w:b w:val="0"/>
                <w:i w:val="0"/>
                <w:strike w:val="0"/>
                <w:u w:val="none"/>
              </w:rPr>
              <w:t>4.88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25眉资03</w:t>
            </w:r>
          </w:p>
        </w:tc>
        <w:tc>
          <w:tcPr>
            <w:tcW w:w="2693" w:type="dxa"/>
            <w:shd w:val="clear" w:color="auto" w:fill="auto"/>
            <w:vAlign w:val="center"/>
          </w:tcPr>
          <w:p>
            <w:pPr>
              <w:ind w:hanging="1"/>
              <w:jc w:val="right"/>
            </w:pPr>
            <w:r>
              <w:rPr>
                <w:b w:val="0"/>
                <w:i w:val="0"/>
                <w:strike w:val="0"/>
                <w:u w:val="none"/>
              </w:rPr>
              <w:t>10,115,260.27</w:t>
            </w:r>
          </w:p>
        </w:tc>
        <w:tc>
          <w:tcPr>
            <w:tcW w:w="2431" w:type="dxa"/>
            <w:shd w:val="clear" w:color="auto" w:fill="auto"/>
            <w:vAlign w:val="center"/>
          </w:tcPr>
          <w:p>
            <w:pPr>
              <w:ind w:hanging="1"/>
              <w:jc w:val="right"/>
            </w:pPr>
            <w:r>
              <w:rPr>
                <w:rFonts w:hint="eastAsia"/>
                <w:b w:val="0"/>
                <w:i w:val="0"/>
                <w:strike w:val="0"/>
                <w:u w:val="none"/>
              </w:rPr>
              <w:t>4.88</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46050EA9"/>
    <w:rsid w:val="49D862C5"/>
    <w:rsid w:val="4B474E5A"/>
    <w:rsid w:val="50632C93"/>
    <w:rsid w:val="51E06E0A"/>
    <w:rsid w:val="53167101"/>
    <w:rsid w:val="5B5FA6DC"/>
    <w:rsid w:val="63BE4DA7"/>
    <w:rsid w:val="66E95429"/>
    <w:rsid w:val="6CB6511A"/>
    <w:rsid w:val="718F3E5B"/>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209</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2026-01-12T07:46:35Z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02F0FD24E5C14362AF889C7606406187</vt:lpwstr>
  </property>
</Properties>
</file>